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147B9">
      <w:pPr>
        <w:spacing w:line="600" w:lineRule="exact"/>
        <w:rPr>
          <w:rFonts w:hint="default" w:ascii="Times New Roman" w:hAnsi="Times New Roman" w:eastAsia="黑体" w:cs="Times New Roman"/>
          <w:kern w:val="0"/>
          <w:sz w:val="32"/>
          <w:szCs w:val="32"/>
        </w:rPr>
      </w:pPr>
    </w:p>
    <w:p w14:paraId="6D6210AF">
      <w:pPr>
        <w:spacing w:line="600" w:lineRule="exact"/>
        <w:rPr>
          <w:rFonts w:hint="default" w:ascii="Times New Roman" w:hAnsi="Times New Roman" w:eastAsia="黑体" w:cs="Times New Roman"/>
          <w:kern w:val="0"/>
          <w:sz w:val="32"/>
          <w:szCs w:val="32"/>
        </w:rPr>
      </w:pPr>
    </w:p>
    <w:p w14:paraId="1F867F68">
      <w:pPr>
        <w:spacing w:line="600" w:lineRule="exact"/>
        <w:rPr>
          <w:rFonts w:hint="default" w:ascii="Times New Roman" w:hAnsi="Times New Roman" w:eastAsia="黑体" w:cs="Times New Roman"/>
          <w:kern w:val="0"/>
          <w:sz w:val="32"/>
          <w:szCs w:val="32"/>
        </w:rPr>
      </w:pPr>
    </w:p>
    <w:p w14:paraId="67B5FB02">
      <w:pPr>
        <w:ind w:right="325" w:rightChars="155" w:firstLine="416" w:firstLineChars="80"/>
        <w:jc w:val="center"/>
        <w:rPr>
          <w:rFonts w:hint="default"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202</w:t>
      </w:r>
      <w:r>
        <w:rPr>
          <w:rFonts w:hint="eastAsia" w:ascii="Times New Roman" w:hAnsi="Times New Roman" w:eastAsia="方正小标宋_GBK" w:cs="Times New Roman"/>
          <w:sz w:val="52"/>
          <w:szCs w:val="52"/>
          <w:lang w:val="en-US" w:eastAsia="zh-CN"/>
        </w:rPr>
        <w:t>4</w:t>
      </w:r>
      <w:r>
        <w:rPr>
          <w:rFonts w:hint="eastAsia" w:ascii="Times New Roman" w:hAnsi="Times New Roman" w:eastAsia="方正小标宋_GBK" w:cs="Times New Roman"/>
          <w:sz w:val="52"/>
          <w:szCs w:val="52"/>
          <w:lang w:eastAsia="zh-CN"/>
        </w:rPr>
        <w:t>年</w:t>
      </w:r>
      <w:r>
        <w:rPr>
          <w:rFonts w:hint="default" w:ascii="Times New Roman" w:hAnsi="Times New Roman" w:eastAsia="方正小标宋_GBK" w:cs="Times New Roman"/>
          <w:sz w:val="52"/>
          <w:szCs w:val="52"/>
        </w:rPr>
        <w:t>度湖南省长株潭</w:t>
      </w:r>
      <w:r>
        <w:rPr>
          <w:rFonts w:hint="default" w:ascii="Times New Roman" w:hAnsi="Times New Roman" w:eastAsia="方正小标宋_GBK" w:cs="Times New Roman"/>
          <w:sz w:val="52"/>
          <w:szCs w:val="52"/>
          <w:lang w:eastAsia="zh-CN"/>
        </w:rPr>
        <w:t>一体化发展事务</w:t>
      </w:r>
      <w:r>
        <w:rPr>
          <w:rFonts w:hint="default" w:ascii="Times New Roman" w:hAnsi="Times New Roman" w:eastAsia="方正小标宋_GBK" w:cs="Times New Roman"/>
          <w:sz w:val="52"/>
          <w:szCs w:val="52"/>
        </w:rPr>
        <w:t>中心部门整体支出</w:t>
      </w:r>
    </w:p>
    <w:p w14:paraId="32E777F6">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14:paraId="153F29D4">
      <w:pPr>
        <w:jc w:val="center"/>
        <w:rPr>
          <w:rFonts w:hint="default" w:ascii="Times New Roman" w:hAnsi="Times New Roman" w:eastAsia="方正小标宋_GBK" w:cs="Times New Roman"/>
          <w:b/>
          <w:bCs/>
          <w:sz w:val="52"/>
          <w:szCs w:val="52"/>
        </w:rPr>
      </w:pPr>
    </w:p>
    <w:p w14:paraId="14E4339E">
      <w:pPr>
        <w:jc w:val="center"/>
        <w:rPr>
          <w:rFonts w:hint="default" w:ascii="Times New Roman" w:hAnsi="Times New Roman" w:eastAsia="楷体_GB2312" w:cs="Times New Roman"/>
          <w:b/>
          <w:bCs/>
          <w:sz w:val="32"/>
          <w:szCs w:val="32"/>
        </w:rPr>
      </w:pPr>
    </w:p>
    <w:p w14:paraId="0094DB9C">
      <w:pPr>
        <w:jc w:val="center"/>
        <w:rPr>
          <w:rFonts w:hint="default" w:ascii="Times New Roman" w:hAnsi="Times New Roman" w:eastAsia="楷体_GB2312" w:cs="Times New Roman"/>
          <w:b/>
          <w:bCs/>
          <w:sz w:val="32"/>
          <w:szCs w:val="32"/>
        </w:rPr>
      </w:pPr>
    </w:p>
    <w:p w14:paraId="67FDF457">
      <w:pPr>
        <w:jc w:val="center"/>
        <w:rPr>
          <w:rFonts w:hint="default" w:ascii="Times New Roman" w:hAnsi="Times New Roman" w:eastAsia="楷体_GB2312" w:cs="Times New Roman"/>
          <w:b/>
          <w:bCs/>
          <w:sz w:val="32"/>
          <w:szCs w:val="32"/>
        </w:rPr>
      </w:pPr>
    </w:p>
    <w:p w14:paraId="5055DE98">
      <w:pPr>
        <w:jc w:val="center"/>
        <w:rPr>
          <w:rFonts w:hint="default" w:ascii="Times New Roman" w:hAnsi="Times New Roman" w:eastAsia="楷体_GB2312" w:cs="Times New Roman"/>
          <w:b/>
          <w:bCs/>
          <w:sz w:val="32"/>
          <w:szCs w:val="32"/>
        </w:rPr>
      </w:pPr>
    </w:p>
    <w:p w14:paraId="36EC6256">
      <w:pPr>
        <w:jc w:val="center"/>
        <w:rPr>
          <w:rFonts w:hint="default" w:ascii="Times New Roman" w:hAnsi="Times New Roman" w:eastAsia="楷体_GB2312" w:cs="Times New Roman"/>
          <w:b/>
          <w:bCs/>
          <w:sz w:val="32"/>
          <w:szCs w:val="32"/>
        </w:rPr>
      </w:pPr>
    </w:p>
    <w:p w14:paraId="3337A0EA">
      <w:pPr>
        <w:jc w:val="center"/>
        <w:rPr>
          <w:rFonts w:hint="default" w:ascii="Times New Roman" w:hAnsi="Times New Roman" w:eastAsia="楷体_GB2312" w:cs="Times New Roman"/>
          <w:b/>
          <w:bCs/>
          <w:sz w:val="32"/>
          <w:szCs w:val="32"/>
        </w:rPr>
      </w:pPr>
    </w:p>
    <w:p w14:paraId="39C81A00">
      <w:pPr>
        <w:jc w:val="center"/>
        <w:rPr>
          <w:rFonts w:hint="default" w:ascii="Times New Roman" w:hAnsi="Times New Roman" w:eastAsia="黑体" w:cs="Times New Roman"/>
          <w:sz w:val="32"/>
          <w:szCs w:val="32"/>
        </w:rPr>
      </w:pPr>
    </w:p>
    <w:p w14:paraId="4CF5CD1F">
      <w:pPr>
        <w:pStyle w:val="5"/>
        <w:ind w:firstLine="31680"/>
        <w:rPr>
          <w:rFonts w:hint="default" w:ascii="Times New Roman" w:hAnsi="Times New Roman" w:cs="Times New Roman"/>
        </w:rPr>
      </w:pPr>
    </w:p>
    <w:p w14:paraId="54D10331">
      <w:pPr>
        <w:rPr>
          <w:rFonts w:hint="default" w:ascii="Times New Roman" w:hAnsi="Times New Roman" w:eastAsia="黑体" w:cs="Times New Roman"/>
          <w:sz w:val="32"/>
          <w:szCs w:val="32"/>
        </w:rPr>
      </w:pPr>
    </w:p>
    <w:p w14:paraId="16C07846">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单位名称：湖南省长株潭一体化发展事务中心</w:t>
      </w:r>
    </w:p>
    <w:p w14:paraId="347282DD">
      <w:pPr>
        <w:spacing w:line="600" w:lineRule="exact"/>
        <w:jc w:val="center"/>
        <w:rPr>
          <w:rFonts w:hint="default" w:ascii="Times New Roman" w:hAnsi="Times New Roman" w:eastAsia="楷体_GB2312" w:cs="Times New Roman"/>
          <w:sz w:val="32"/>
          <w:szCs w:val="32"/>
        </w:rPr>
        <w:sectPr>
          <w:headerReference r:id="rId3" w:type="default"/>
          <w:footerReference r:id="rId4" w:type="default"/>
          <w:pgSz w:w="11906" w:h="16838"/>
          <w:pgMar w:top="1758" w:right="1531" w:bottom="1644" w:left="1588" w:header="851" w:footer="1247" w:gutter="0"/>
          <w:pgNumType w:fmt="decimal" w:start="1"/>
          <w:cols w:space="425" w:num="1"/>
          <w:docGrid w:type="lines" w:linePitch="312" w:charSpace="0"/>
        </w:sectPr>
      </w:pPr>
      <w:r>
        <w:rPr>
          <w:rFonts w:hint="default"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16</w:t>
      </w:r>
      <w:r>
        <w:rPr>
          <w:rFonts w:hint="default" w:ascii="Times New Roman" w:hAnsi="Times New Roman" w:eastAsia="楷体_GB2312" w:cs="Times New Roman"/>
          <w:sz w:val="32"/>
          <w:szCs w:val="32"/>
        </w:rPr>
        <w:t>日</w:t>
      </w:r>
    </w:p>
    <w:p w14:paraId="38849A8D">
      <w:pPr>
        <w:spacing w:line="600" w:lineRule="exact"/>
        <w:jc w:val="center"/>
        <w:rPr>
          <w:rFonts w:hint="default" w:ascii="Times New Roman" w:hAnsi="Times New Roman" w:eastAsia="楷体_GB2312" w:cs="Times New Roman"/>
          <w:sz w:val="32"/>
          <w:szCs w:val="32"/>
        </w:rPr>
        <w:sectPr>
          <w:footerReference r:id="rId5" w:type="default"/>
          <w:pgSz w:w="11906" w:h="16838"/>
          <w:pgMar w:top="1758" w:right="1531" w:bottom="1644" w:left="1588" w:header="851" w:footer="1247" w:gutter="0"/>
          <w:pgNumType w:fmt="decimal"/>
          <w:cols w:space="425" w:num="1"/>
          <w:docGrid w:type="lines" w:linePitch="312" w:charSpace="0"/>
        </w:sectPr>
      </w:pPr>
    </w:p>
    <w:p w14:paraId="3C98C170">
      <w:pPr>
        <w:pStyle w:val="5"/>
        <w:ind w:left="0" w:leftChars="0" w:firstLine="0" w:firstLineChars="0"/>
        <w:rPr>
          <w:rFonts w:hint="default" w:ascii="Times New Roman" w:hAnsi="Times New Roman" w:cs="Times New Roman"/>
        </w:rPr>
      </w:pPr>
    </w:p>
    <w:p w14:paraId="2FD23CBC">
      <w:pPr>
        <w:spacing w:line="560" w:lineRule="exact"/>
        <w:jc w:val="center"/>
        <w:outlineLvl w:val="0"/>
        <w:rPr>
          <w:rFonts w:hint="eastAsia" w:ascii="Times New Roman" w:hAnsi="Times New Roman" w:eastAsia="方正大标宋简体" w:cs="Times New Roman"/>
          <w:w w:val="100"/>
          <w:sz w:val="44"/>
          <w:szCs w:val="44"/>
          <w:lang w:eastAsia="zh-CN"/>
        </w:rPr>
      </w:pPr>
      <w:r>
        <w:rPr>
          <w:rFonts w:hint="default" w:ascii="Times New Roman" w:hAnsi="Times New Roman" w:eastAsia="方正大标宋简体" w:cs="Times New Roman"/>
          <w:w w:val="100"/>
          <w:sz w:val="44"/>
          <w:szCs w:val="44"/>
        </w:rPr>
        <w:t>湖南省长株潭</w:t>
      </w:r>
      <w:r>
        <w:rPr>
          <w:rFonts w:hint="default" w:ascii="Times New Roman" w:hAnsi="Times New Roman" w:eastAsia="方正大标宋简体" w:cs="Times New Roman"/>
          <w:w w:val="100"/>
          <w:sz w:val="44"/>
          <w:szCs w:val="44"/>
          <w:lang w:eastAsia="zh-CN"/>
        </w:rPr>
        <w:t>一体化发展事务</w:t>
      </w:r>
      <w:r>
        <w:rPr>
          <w:rFonts w:hint="default" w:ascii="Times New Roman" w:hAnsi="Times New Roman" w:eastAsia="方正大标宋简体" w:cs="Times New Roman"/>
          <w:w w:val="100"/>
          <w:sz w:val="44"/>
          <w:szCs w:val="44"/>
        </w:rPr>
        <w:t>中心</w:t>
      </w:r>
    </w:p>
    <w:p w14:paraId="06373E7B">
      <w:pPr>
        <w:spacing w:line="560" w:lineRule="exact"/>
        <w:jc w:val="center"/>
        <w:outlineLvl w:val="0"/>
        <w:rPr>
          <w:rFonts w:hint="default" w:ascii="Times New Roman" w:hAnsi="Times New Roman" w:eastAsia="方正大标宋简体" w:cs="Times New Roman"/>
          <w:w w:val="100"/>
          <w:sz w:val="44"/>
          <w:szCs w:val="44"/>
        </w:rPr>
      </w:pPr>
      <w:r>
        <w:rPr>
          <w:rFonts w:hint="eastAsia" w:ascii="Times New Roman" w:hAnsi="Times New Roman" w:eastAsia="方正大标宋简体" w:cs="Times New Roman"/>
          <w:w w:val="100"/>
          <w:sz w:val="44"/>
          <w:szCs w:val="44"/>
          <w:lang w:eastAsia="zh-CN"/>
        </w:rPr>
        <w:t>202</w:t>
      </w:r>
      <w:r>
        <w:rPr>
          <w:rFonts w:hint="eastAsia" w:ascii="Times New Roman" w:hAnsi="Times New Roman" w:eastAsia="方正大标宋简体" w:cs="Times New Roman"/>
          <w:w w:val="100"/>
          <w:sz w:val="44"/>
          <w:szCs w:val="44"/>
          <w:lang w:val="en-US" w:eastAsia="zh-CN"/>
        </w:rPr>
        <w:t>4</w:t>
      </w:r>
      <w:r>
        <w:rPr>
          <w:rFonts w:hint="eastAsia" w:ascii="Times New Roman" w:hAnsi="Times New Roman" w:eastAsia="方正大标宋简体" w:cs="Times New Roman"/>
          <w:w w:val="100"/>
          <w:sz w:val="44"/>
          <w:szCs w:val="44"/>
          <w:lang w:eastAsia="zh-CN"/>
        </w:rPr>
        <w:t>年</w:t>
      </w:r>
      <w:r>
        <w:rPr>
          <w:rFonts w:hint="default" w:ascii="Times New Roman" w:hAnsi="Times New Roman" w:eastAsia="方正大标宋简体" w:cs="Times New Roman"/>
          <w:w w:val="100"/>
          <w:sz w:val="44"/>
          <w:szCs w:val="44"/>
        </w:rPr>
        <w:t>度部门整体支出绩效</w:t>
      </w:r>
      <w:r>
        <w:rPr>
          <w:rFonts w:hint="default" w:ascii="Times New Roman" w:hAnsi="Times New Roman" w:eastAsia="方正大标宋简体" w:cs="Times New Roman"/>
          <w:w w:val="100"/>
          <w:sz w:val="44"/>
          <w:szCs w:val="44"/>
          <w:lang w:eastAsia="zh-CN"/>
        </w:rPr>
        <w:t>自评</w:t>
      </w:r>
      <w:r>
        <w:rPr>
          <w:rFonts w:hint="default" w:ascii="Times New Roman" w:hAnsi="Times New Roman" w:eastAsia="方正大标宋简体" w:cs="Times New Roman"/>
          <w:w w:val="100"/>
          <w:sz w:val="44"/>
          <w:szCs w:val="44"/>
        </w:rPr>
        <w:t>报告</w:t>
      </w:r>
    </w:p>
    <w:p w14:paraId="1EA9327A">
      <w:pPr>
        <w:spacing w:line="560" w:lineRule="exact"/>
        <w:rPr>
          <w:rFonts w:hint="default" w:ascii="Times New Roman" w:hAnsi="Times New Roman" w:eastAsia="仿宋" w:cs="Times New Roman"/>
          <w:w w:val="98"/>
          <w:sz w:val="32"/>
          <w:szCs w:val="32"/>
        </w:rPr>
      </w:pPr>
    </w:p>
    <w:p w14:paraId="4C24B45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省财政厅：</w:t>
      </w:r>
    </w:p>
    <w:p w14:paraId="4F39FA28">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根据中共中央、国务院《关于全面实施预算绩效管理的意见》（中发〔2018〕34号），中共湖南省委办公厅、湖南省人民政府办公厅《关于全面实施预算绩效管理的实施意见》（湘办发〔2019〕10号）和省财政厅《关于印发&lt;湖南省预算支出绩效评价管理办法&gt;的通知》（湘财绩〔2020〕</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号）《关于开展2024年度省级预算部门绩效自评和部门评价的通知》（湘财绩〔202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号）要求，现将</w:t>
      </w:r>
      <w:r>
        <w:rPr>
          <w:rFonts w:hint="default" w:ascii="Times New Roman" w:hAnsi="Times New Roman" w:eastAsia="仿宋_GB2312" w:cs="Times New Roman"/>
          <w:sz w:val="32"/>
          <w:szCs w:val="32"/>
          <w:highlight w:val="none"/>
          <w:lang w:eastAsia="zh-CN"/>
        </w:rPr>
        <w:t>我中心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度部门整体支出绩效自评情况及评价结果报告如下：</w:t>
      </w:r>
    </w:p>
    <w:p w14:paraId="508A586F">
      <w:pPr>
        <w:numPr>
          <w:ilvl w:val="0"/>
          <w:numId w:val="1"/>
        </w:num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部门基本情况</w:t>
      </w:r>
    </w:p>
    <w:p w14:paraId="64D930D9">
      <w:pPr>
        <w:snapToGrid w:val="0"/>
        <w:spacing w:line="596" w:lineRule="exact"/>
        <w:ind w:firstLine="643" w:firstLineChars="200"/>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（一）部门职责。</w:t>
      </w:r>
    </w:p>
    <w:p w14:paraId="74AB248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湖南省长株潭一体化发展事务中心为省政府专门协调和服务于充分发挥长株潭在实施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三高四新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战略、建设现代化新湖南中的核心引擎和辐射带动作用的机构，作为湖南省发展和改革委员会管理的正厅级公益一类事业单位。</w:t>
      </w:r>
    </w:p>
    <w:p w14:paraId="2DA65D08">
      <w:pPr>
        <w:spacing w:line="560" w:lineRule="exact"/>
        <w:ind w:firstLine="629"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1</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主要职能。</w:t>
      </w:r>
    </w:p>
    <w:p w14:paraId="3E623EA4">
      <w:pPr>
        <w:adjustRightInd w:val="0"/>
        <w:snapToGrid w:val="0"/>
        <w:spacing w:line="596" w:lineRule="exact"/>
        <w:ind w:firstLine="640" w:firstLineChars="200"/>
        <w:outlineLvl w:val="3"/>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承担省长株潭一体化发展领导小组办公室的日常事务性工作。</w:t>
      </w:r>
    </w:p>
    <w:p w14:paraId="24A1441C">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）承担长株潭城市群生态绿心地区保护相关事务性、服务性工作。</w:t>
      </w:r>
    </w:p>
    <w:p w14:paraId="611C3153">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承担推进长株潭一体化发展、长株潭都市圈与城市群发展、协调联动省内外区域合作相关事务性、服务性工作。</w:t>
      </w:r>
    </w:p>
    <w:p w14:paraId="6C0F690F">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承担长株潭一体化发展规划及相关重大专项规划编制、实施和监督管理相关事务性、服务性工作。</w:t>
      </w:r>
    </w:p>
    <w:p w14:paraId="186A6546">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承担推进长株潭一体化发展重点任务、重大项目相关事务性、服务性工作。</w:t>
      </w:r>
    </w:p>
    <w:p w14:paraId="29E2FA4E">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开展长株潭一体化发展重大改革、重大政策、重大问题的专题研究。</w:t>
      </w:r>
    </w:p>
    <w:p w14:paraId="57A13763">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承担长株潭一体化发展的宣传推介、对外合作交流和教育培训等工作。</w:t>
      </w:r>
    </w:p>
    <w:p w14:paraId="63F572D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承担省长株潭一体化发展领导小组、省发展和改革委员会交办的其他工作。</w:t>
      </w:r>
    </w:p>
    <w:p w14:paraId="36F0B88A">
      <w:pPr>
        <w:spacing w:line="560" w:lineRule="exact"/>
        <w:ind w:firstLine="629"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2</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机构情况。</w:t>
      </w:r>
    </w:p>
    <w:p w14:paraId="26BB33E5">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湖南省长株潭</w:t>
      </w:r>
      <w:r>
        <w:rPr>
          <w:rFonts w:hint="default" w:ascii="Times New Roman" w:hAnsi="Times New Roman" w:eastAsia="仿宋_GB2312" w:cs="Times New Roman"/>
          <w:sz w:val="32"/>
          <w:szCs w:val="32"/>
          <w:highlight w:val="none"/>
          <w:lang w:eastAsia="zh-CN"/>
        </w:rPr>
        <w:t>一体化发展事务</w:t>
      </w:r>
      <w:r>
        <w:rPr>
          <w:rFonts w:hint="default" w:ascii="Times New Roman" w:hAnsi="Times New Roman" w:eastAsia="仿宋_GB2312" w:cs="Times New Roman"/>
          <w:sz w:val="32"/>
          <w:szCs w:val="32"/>
          <w:highlight w:val="none"/>
        </w:rPr>
        <w:t>中心</w:t>
      </w:r>
      <w:r>
        <w:rPr>
          <w:rFonts w:hint="default" w:ascii="Times New Roman" w:hAnsi="Times New Roman" w:eastAsia="仿宋_GB2312" w:cs="Times New Roman"/>
          <w:sz w:val="32"/>
          <w:szCs w:val="32"/>
          <w:highlight w:val="none"/>
          <w:lang w:eastAsia="zh-CN"/>
        </w:rPr>
        <w:t>内设综合部、</w:t>
      </w:r>
      <w:r>
        <w:rPr>
          <w:rFonts w:hint="default" w:ascii="Times New Roman" w:hAnsi="Times New Roman" w:eastAsia="仿宋_GB2312" w:cs="Times New Roman"/>
          <w:sz w:val="32"/>
          <w:szCs w:val="32"/>
        </w:rPr>
        <w:t>协调服务部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发展事业部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创新研究部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生态绿心部</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个职能部门和</w:t>
      </w:r>
      <w:r>
        <w:rPr>
          <w:rFonts w:hint="default" w:ascii="Times New Roman" w:hAnsi="Times New Roman" w:eastAsia="仿宋_GB2312" w:cs="Times New Roman"/>
          <w:sz w:val="32"/>
          <w:szCs w:val="32"/>
          <w:lang w:eastAsia="zh-CN"/>
        </w:rPr>
        <w:t>机关党委（机关纪委）</w:t>
      </w:r>
      <w:r>
        <w:rPr>
          <w:rFonts w:hint="eastAsia"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lang w:val="en-US" w:eastAsia="zh-CN"/>
        </w:rPr>
        <w:t>下属事业单位1个。</w:t>
      </w:r>
      <w:r>
        <w:rPr>
          <w:rFonts w:hint="default" w:ascii="Times New Roman" w:hAnsi="Times New Roman" w:eastAsia="仿宋_GB2312" w:cs="Times New Roman"/>
          <w:sz w:val="32"/>
          <w:szCs w:val="32"/>
          <w:highlight w:val="none"/>
          <w:lang w:eastAsia="zh-CN"/>
        </w:rPr>
        <w:t>下属全额拨款事业单位湖南省两型社会规划展示中心财务尚未独立核算。</w:t>
      </w:r>
    </w:p>
    <w:p w14:paraId="394BCC2E">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3</w:t>
      </w:r>
      <w:r>
        <w:rPr>
          <w:rFonts w:hint="default" w:ascii="Times New Roman" w:hAnsi="Times New Roman" w:eastAsia="仿宋_GB2312" w:cs="Times New Roman"/>
          <w:b/>
          <w:bCs/>
          <w:w w:val="98"/>
          <w:sz w:val="32"/>
          <w:szCs w:val="32"/>
          <w:highlight w:val="none"/>
          <w:lang w:eastAsia="zh-CN"/>
        </w:rPr>
        <w:t>、</w:t>
      </w:r>
      <w:r>
        <w:rPr>
          <w:rFonts w:hint="default" w:ascii="Times New Roman" w:hAnsi="Times New Roman" w:eastAsia="仿宋_GB2312" w:cs="Times New Roman"/>
          <w:b/>
          <w:bCs/>
          <w:w w:val="98"/>
          <w:sz w:val="32"/>
          <w:szCs w:val="32"/>
          <w:highlight w:val="none"/>
        </w:rPr>
        <w:t>人员情况。</w:t>
      </w:r>
    </w:p>
    <w:p w14:paraId="60E29636">
      <w:pPr>
        <w:adjustRightInd w:val="0"/>
        <w:snapToGrid w:val="0"/>
        <w:spacing w:line="596" w:lineRule="exact"/>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本部门共有人员编制44名，其中湖南省长株潭一体化发展事务中心</w:t>
      </w:r>
      <w:r>
        <w:rPr>
          <w:rFonts w:hint="eastAsia" w:ascii="Times New Roman" w:hAnsi="Times New Roman" w:eastAsia="仿宋_GB2312" w:cs="Times New Roman"/>
          <w:sz w:val="32"/>
          <w:szCs w:val="32"/>
          <w:highlight w:val="none"/>
          <w:lang w:eastAsia="zh-CN"/>
        </w:rPr>
        <w:t>事业编制</w:t>
      </w:r>
      <w:r>
        <w:rPr>
          <w:rFonts w:hint="default" w:ascii="Times New Roman" w:hAnsi="Times New Roman" w:eastAsia="仿宋_GB2312" w:cs="Times New Roman"/>
          <w:sz w:val="32"/>
          <w:szCs w:val="32"/>
          <w:highlight w:val="none"/>
          <w:lang w:eastAsia="zh-CN"/>
        </w:rPr>
        <w:t>41名，湖南省两型社会规划展示中心事业编制3名。本年度调入1人，调出3人，退休2人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2024年度年末实有在职人数为28人，其中行政人员25人，事业人员3人。此外，年末中心存在由养老保险基金发放养老金的退休人员7人，劳务派遣人员25人。</w:t>
      </w:r>
    </w:p>
    <w:p w14:paraId="68BBBEC1">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（二）部门整体支出情况</w:t>
      </w:r>
    </w:p>
    <w:p w14:paraId="0B73DD9F">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度部门财政拨款收入（除省级专项资金以外）决算数为</w:t>
      </w:r>
      <w:r>
        <w:rPr>
          <w:rFonts w:hint="eastAsia" w:ascii="Times New Roman" w:hAnsi="Times New Roman" w:eastAsia="仿宋_GB2312" w:cs="Times New Roman"/>
          <w:sz w:val="32"/>
          <w:szCs w:val="32"/>
          <w:highlight w:val="none"/>
          <w:lang w:val="en-US" w:eastAsia="zh-CN"/>
        </w:rPr>
        <w:t>1618.51</w:t>
      </w:r>
      <w:r>
        <w:rPr>
          <w:rFonts w:hint="default" w:ascii="Times New Roman" w:hAnsi="Times New Roman" w:eastAsia="仿宋_GB2312" w:cs="Times New Roman"/>
          <w:sz w:val="32"/>
          <w:szCs w:val="32"/>
          <w:highlight w:val="none"/>
          <w:lang w:val="en-US" w:eastAsia="zh-CN"/>
        </w:rPr>
        <w:t>万元，其中基本支出11</w:t>
      </w:r>
      <w:r>
        <w:rPr>
          <w:rFonts w:hint="eastAsia" w:ascii="Times New Roman" w:hAnsi="Times New Roman" w:eastAsia="仿宋_GB2312" w:cs="Times New Roman"/>
          <w:sz w:val="32"/>
          <w:szCs w:val="32"/>
          <w:highlight w:val="none"/>
          <w:lang w:val="en-US" w:eastAsia="zh-CN"/>
        </w:rPr>
        <w:t>63.26</w:t>
      </w:r>
      <w:r>
        <w:rPr>
          <w:rFonts w:hint="default" w:ascii="Times New Roman" w:hAnsi="Times New Roman" w:eastAsia="仿宋_GB2312" w:cs="Times New Roman"/>
          <w:sz w:val="32"/>
          <w:szCs w:val="32"/>
          <w:highlight w:val="none"/>
          <w:lang w:val="en-US" w:eastAsia="zh-CN"/>
        </w:rPr>
        <w:t>万元，除省级专项资金以外其他项目支出</w:t>
      </w:r>
      <w:r>
        <w:rPr>
          <w:rFonts w:hint="eastAsia" w:ascii="Times New Roman" w:hAnsi="Times New Roman" w:eastAsia="仿宋_GB2312" w:cs="Times New Roman"/>
          <w:sz w:val="32"/>
          <w:szCs w:val="32"/>
          <w:highlight w:val="none"/>
          <w:lang w:val="en-US" w:eastAsia="zh-CN"/>
        </w:rPr>
        <w:t>455.25</w:t>
      </w:r>
      <w:r>
        <w:rPr>
          <w:rFonts w:hint="default" w:ascii="Times New Roman" w:hAnsi="Times New Roman" w:eastAsia="仿宋_GB2312" w:cs="Times New Roman"/>
          <w:sz w:val="32"/>
          <w:szCs w:val="32"/>
          <w:highlight w:val="none"/>
          <w:lang w:val="en-US" w:eastAsia="zh-CN"/>
        </w:rPr>
        <w:t>万元。</w:t>
      </w:r>
    </w:p>
    <w:p w14:paraId="2DD5A9B4">
      <w:pPr>
        <w:spacing w:line="600" w:lineRule="exact"/>
        <w:ind w:firstLine="640" w:firstLineChars="200"/>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年度</w:t>
      </w:r>
      <w:r>
        <w:rPr>
          <w:rFonts w:hint="default" w:ascii="Times New Roman" w:hAnsi="Times New Roman" w:eastAsia="仿宋_GB2312" w:cs="Times New Roman"/>
          <w:sz w:val="32"/>
          <w:szCs w:val="32"/>
          <w:highlight w:val="none"/>
          <w:lang w:val="en-US" w:eastAsia="zh-CN"/>
        </w:rPr>
        <w:t>财政拨款支出（除省级专项资金以外）决算数为</w:t>
      </w:r>
      <w:r>
        <w:rPr>
          <w:rFonts w:hint="eastAsia" w:ascii="Times New Roman" w:hAnsi="Times New Roman" w:eastAsia="仿宋_GB2312" w:cs="Times New Roman"/>
          <w:sz w:val="32"/>
          <w:szCs w:val="32"/>
          <w:highlight w:val="none"/>
          <w:lang w:val="en-US" w:eastAsia="zh-CN"/>
        </w:rPr>
        <w:t>1289.31</w:t>
      </w:r>
      <w:r>
        <w:rPr>
          <w:rFonts w:hint="default" w:ascii="Times New Roman" w:hAnsi="Times New Roman" w:eastAsia="仿宋_GB2312" w:cs="Times New Roman"/>
          <w:sz w:val="32"/>
          <w:szCs w:val="32"/>
          <w:highlight w:val="none"/>
          <w:lang w:val="en-US" w:eastAsia="zh-CN"/>
        </w:rPr>
        <w:t>万元，预算执行率为</w:t>
      </w:r>
      <w:r>
        <w:rPr>
          <w:rFonts w:hint="eastAsia" w:ascii="Times New Roman" w:hAnsi="Times New Roman" w:eastAsia="仿宋_GB2312" w:cs="Times New Roman"/>
          <w:sz w:val="32"/>
          <w:szCs w:val="32"/>
          <w:highlight w:val="none"/>
          <w:lang w:val="en-US" w:eastAsia="zh-CN"/>
        </w:rPr>
        <w:t>79.66</w:t>
      </w:r>
      <w:r>
        <w:rPr>
          <w:rFonts w:hint="default" w:ascii="Times New Roman" w:hAnsi="Times New Roman" w:eastAsia="仿宋_GB2312" w:cs="Times New Roman"/>
          <w:sz w:val="32"/>
          <w:szCs w:val="32"/>
          <w:highlight w:val="none"/>
          <w:lang w:val="en-US" w:eastAsia="zh-CN"/>
        </w:rPr>
        <w:t>%，其中基本支出</w:t>
      </w:r>
      <w:r>
        <w:rPr>
          <w:rFonts w:hint="eastAsia" w:ascii="Times New Roman" w:hAnsi="Times New Roman" w:eastAsia="仿宋_GB2312" w:cs="Times New Roman"/>
          <w:sz w:val="32"/>
          <w:szCs w:val="32"/>
          <w:highlight w:val="none"/>
          <w:lang w:val="en-US" w:eastAsia="zh-CN"/>
        </w:rPr>
        <w:t>990.21</w:t>
      </w:r>
      <w:r>
        <w:rPr>
          <w:rFonts w:hint="default" w:ascii="Times New Roman" w:hAnsi="Times New Roman" w:eastAsia="仿宋_GB2312" w:cs="Times New Roman"/>
          <w:sz w:val="32"/>
          <w:szCs w:val="32"/>
          <w:highlight w:val="none"/>
          <w:lang w:val="en-US" w:eastAsia="zh-CN"/>
        </w:rPr>
        <w:t>万元，占总支出的</w:t>
      </w:r>
      <w:r>
        <w:rPr>
          <w:rFonts w:hint="eastAsia" w:ascii="Times New Roman" w:hAnsi="Times New Roman" w:eastAsia="仿宋_GB2312" w:cs="Times New Roman"/>
          <w:sz w:val="32"/>
          <w:szCs w:val="32"/>
          <w:highlight w:val="none"/>
          <w:lang w:val="en-US" w:eastAsia="zh-CN"/>
        </w:rPr>
        <w:t>76.8</w:t>
      </w:r>
      <w:r>
        <w:rPr>
          <w:rFonts w:hint="default" w:ascii="Times New Roman" w:hAnsi="Times New Roman" w:eastAsia="仿宋_GB2312" w:cs="Times New Roman"/>
          <w:sz w:val="32"/>
          <w:szCs w:val="32"/>
          <w:highlight w:val="none"/>
          <w:lang w:val="en-US" w:eastAsia="zh-CN"/>
        </w:rPr>
        <w:t>%，包括人员经费</w:t>
      </w:r>
      <w:r>
        <w:rPr>
          <w:rFonts w:hint="eastAsia" w:ascii="Times New Roman" w:hAnsi="Times New Roman" w:eastAsia="仿宋_GB2312" w:cs="Times New Roman"/>
          <w:sz w:val="32"/>
          <w:szCs w:val="32"/>
          <w:highlight w:val="none"/>
          <w:lang w:val="en-US" w:eastAsia="zh-CN"/>
        </w:rPr>
        <w:t>830.62</w:t>
      </w:r>
      <w:r>
        <w:rPr>
          <w:rFonts w:hint="default" w:ascii="Times New Roman" w:hAnsi="Times New Roman" w:eastAsia="仿宋_GB2312" w:cs="Times New Roman"/>
          <w:sz w:val="32"/>
          <w:szCs w:val="32"/>
          <w:highlight w:val="none"/>
          <w:lang w:val="en-US" w:eastAsia="zh-CN"/>
        </w:rPr>
        <w:t>万元，公用经费</w:t>
      </w:r>
      <w:r>
        <w:rPr>
          <w:rFonts w:hint="eastAsia" w:ascii="Times New Roman" w:hAnsi="Times New Roman" w:eastAsia="仿宋_GB2312" w:cs="Times New Roman"/>
          <w:sz w:val="32"/>
          <w:szCs w:val="32"/>
          <w:highlight w:val="none"/>
          <w:lang w:val="en-US" w:eastAsia="zh-CN"/>
        </w:rPr>
        <w:t>159.59</w:t>
      </w:r>
      <w:r>
        <w:rPr>
          <w:rFonts w:hint="default" w:ascii="Times New Roman" w:hAnsi="Times New Roman" w:eastAsia="仿宋_GB2312" w:cs="Times New Roman"/>
          <w:sz w:val="32"/>
          <w:szCs w:val="32"/>
          <w:highlight w:val="none"/>
          <w:lang w:val="en-US" w:eastAsia="zh-CN"/>
        </w:rPr>
        <w:t>万元；除省级专项资金以外其他项目支出</w:t>
      </w:r>
      <w:r>
        <w:rPr>
          <w:rFonts w:hint="eastAsia" w:ascii="Times New Roman" w:hAnsi="Times New Roman" w:eastAsia="仿宋_GB2312" w:cs="Times New Roman"/>
          <w:sz w:val="32"/>
          <w:szCs w:val="32"/>
          <w:highlight w:val="none"/>
          <w:lang w:val="en-US" w:eastAsia="zh-CN"/>
        </w:rPr>
        <w:t>299.09</w:t>
      </w:r>
      <w:r>
        <w:rPr>
          <w:rFonts w:hint="default" w:ascii="Times New Roman" w:hAnsi="Times New Roman" w:eastAsia="仿宋_GB2312" w:cs="Times New Roman"/>
          <w:sz w:val="32"/>
          <w:szCs w:val="32"/>
          <w:highlight w:val="none"/>
          <w:lang w:val="en-US" w:eastAsia="zh-CN"/>
        </w:rPr>
        <w:t>万元，占总支出的</w:t>
      </w:r>
      <w:r>
        <w:rPr>
          <w:rFonts w:hint="eastAsia" w:ascii="Times New Roman" w:hAnsi="Times New Roman" w:eastAsia="仿宋_GB2312" w:cs="Times New Roman"/>
          <w:sz w:val="32"/>
          <w:szCs w:val="32"/>
          <w:highlight w:val="none"/>
          <w:lang w:val="en-US" w:eastAsia="zh-CN"/>
        </w:rPr>
        <w:t>23.2</w:t>
      </w:r>
      <w:r>
        <w:rPr>
          <w:rFonts w:hint="default" w:ascii="Times New Roman" w:hAnsi="Times New Roman" w:eastAsia="仿宋_GB2312" w:cs="Times New Roman"/>
          <w:sz w:val="32"/>
          <w:szCs w:val="32"/>
          <w:highlight w:val="none"/>
          <w:lang w:val="en-US" w:eastAsia="zh-CN"/>
        </w:rPr>
        <w:t>%。</w:t>
      </w:r>
    </w:p>
    <w:p w14:paraId="25817E75">
      <w:pPr>
        <w:widowControl/>
        <w:spacing w:line="600" w:lineRule="exact"/>
        <w:ind w:firstLine="640" w:firstLineChars="200"/>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585EBD9">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（一）基本支出情况</w:t>
      </w:r>
    </w:p>
    <w:p w14:paraId="5DE018CA">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14:paraId="536A2BE0">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初基本支出预算安排1233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74万元，包括人员经费</w:t>
      </w:r>
      <w:r>
        <w:rPr>
          <w:rFonts w:hint="eastAsia" w:ascii="Times New Roman" w:hAnsi="Times New Roman" w:eastAsia="仿宋_GB2312" w:cs="Times New Roman"/>
          <w:sz w:val="32"/>
          <w:szCs w:val="32"/>
          <w:highlight w:val="none"/>
          <w:lang w:val="en-US" w:eastAsia="zh-CN"/>
        </w:rPr>
        <w:t>1014.61</w:t>
      </w:r>
      <w:r>
        <w:rPr>
          <w:rFonts w:hint="default" w:ascii="Times New Roman" w:hAnsi="Times New Roman" w:eastAsia="仿宋_GB2312" w:cs="Times New Roman"/>
          <w:sz w:val="32"/>
          <w:szCs w:val="32"/>
          <w:highlight w:val="none"/>
          <w:lang w:val="en-US" w:eastAsia="zh-CN"/>
        </w:rPr>
        <w:t>万元，公用经费219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13万元。</w:t>
      </w:r>
    </w:p>
    <w:p w14:paraId="1B583604">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本年度</w:t>
      </w:r>
      <w:r>
        <w:rPr>
          <w:rFonts w:hint="eastAsia" w:ascii="Times New Roman" w:hAnsi="Times New Roman" w:eastAsia="仿宋_GB2312" w:cs="Times New Roman"/>
          <w:sz w:val="32"/>
          <w:szCs w:val="32"/>
          <w:highlight w:val="none"/>
          <w:lang w:val="en-US" w:eastAsia="zh-CN"/>
        </w:rPr>
        <w:t>基本支出</w:t>
      </w:r>
      <w:r>
        <w:rPr>
          <w:rFonts w:hint="default" w:ascii="Times New Roman" w:hAnsi="Times New Roman" w:eastAsia="仿宋_GB2312" w:cs="Times New Roman"/>
          <w:sz w:val="32"/>
          <w:szCs w:val="32"/>
          <w:highlight w:val="none"/>
          <w:lang w:val="en-US" w:eastAsia="zh-CN"/>
        </w:rPr>
        <w:t>追减的预算为</w:t>
      </w:r>
      <w:r>
        <w:rPr>
          <w:rFonts w:hint="eastAsia" w:ascii="Times New Roman" w:hAnsi="Times New Roman" w:eastAsia="仿宋_GB2312" w:cs="Times New Roman"/>
          <w:sz w:val="32"/>
          <w:szCs w:val="32"/>
          <w:highlight w:val="none"/>
          <w:lang w:val="en-US" w:eastAsia="zh-CN"/>
        </w:rPr>
        <w:t>111.78</w:t>
      </w:r>
      <w:r>
        <w:rPr>
          <w:rFonts w:hint="default" w:ascii="Times New Roman" w:hAnsi="Times New Roman" w:eastAsia="仿宋_GB2312" w:cs="Times New Roman"/>
          <w:sz w:val="32"/>
          <w:szCs w:val="32"/>
          <w:highlight w:val="none"/>
          <w:lang w:val="en-US" w:eastAsia="zh-CN"/>
        </w:rPr>
        <w:t>万元，其中：按要求上缴结转结余资金</w:t>
      </w:r>
      <w:r>
        <w:rPr>
          <w:rFonts w:hint="eastAsia" w:ascii="Times New Roman" w:hAnsi="Times New Roman" w:eastAsia="仿宋_GB2312" w:cs="Times New Roman"/>
          <w:sz w:val="32"/>
          <w:szCs w:val="32"/>
          <w:highlight w:val="none"/>
          <w:lang w:val="en-US" w:eastAsia="zh-CN"/>
        </w:rPr>
        <w:t>111.78</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14:paraId="79F69951">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本年度</w:t>
      </w:r>
      <w:r>
        <w:rPr>
          <w:rFonts w:hint="eastAsia" w:ascii="Times New Roman" w:hAnsi="Times New Roman" w:eastAsia="仿宋_GB2312" w:cs="Times New Roman"/>
          <w:sz w:val="32"/>
          <w:szCs w:val="32"/>
          <w:highlight w:val="none"/>
          <w:lang w:val="en-US" w:eastAsia="zh-CN"/>
        </w:rPr>
        <w:t>基本支出</w:t>
      </w:r>
      <w:r>
        <w:rPr>
          <w:rFonts w:hint="default" w:ascii="Times New Roman" w:hAnsi="Times New Roman" w:eastAsia="仿宋_GB2312" w:cs="Times New Roman"/>
          <w:sz w:val="32"/>
          <w:szCs w:val="32"/>
          <w:highlight w:val="none"/>
          <w:lang w:val="en-US" w:eastAsia="zh-CN"/>
        </w:rPr>
        <w:t>追</w:t>
      </w:r>
      <w:r>
        <w:rPr>
          <w:rFonts w:hint="eastAsia" w:ascii="Times New Roman" w:hAnsi="Times New Roman" w:eastAsia="仿宋_GB2312" w:cs="Times New Roman"/>
          <w:sz w:val="32"/>
          <w:szCs w:val="32"/>
          <w:highlight w:val="none"/>
          <w:lang w:val="en-US" w:eastAsia="zh-CN"/>
        </w:rPr>
        <w:t>加</w:t>
      </w:r>
      <w:r>
        <w:rPr>
          <w:rFonts w:hint="default" w:ascii="Times New Roman" w:hAnsi="Times New Roman" w:eastAsia="仿宋_GB2312" w:cs="Times New Roman"/>
          <w:sz w:val="32"/>
          <w:szCs w:val="32"/>
          <w:highlight w:val="none"/>
          <w:lang w:val="en-US" w:eastAsia="zh-CN"/>
        </w:rPr>
        <w:t>的预算为</w:t>
      </w:r>
      <w:r>
        <w:rPr>
          <w:rFonts w:hint="eastAsia" w:ascii="Times New Roman" w:hAnsi="Times New Roman" w:eastAsia="仿宋_GB2312" w:cs="Times New Roman"/>
          <w:sz w:val="32"/>
          <w:szCs w:val="32"/>
          <w:highlight w:val="none"/>
          <w:lang w:val="en-US" w:eastAsia="zh-CN"/>
        </w:rPr>
        <w:t>41.3</w:t>
      </w:r>
      <w:r>
        <w:rPr>
          <w:rFonts w:hint="default" w:ascii="Times New Roman" w:hAnsi="Times New Roman" w:eastAsia="仿宋_GB2312" w:cs="Times New Roman"/>
          <w:sz w:val="32"/>
          <w:szCs w:val="32"/>
          <w:highlight w:val="none"/>
          <w:lang w:val="en-US" w:eastAsia="zh-CN"/>
        </w:rPr>
        <w:t>万元，其中：按要求上缴结转结余资金</w:t>
      </w:r>
      <w:r>
        <w:rPr>
          <w:rFonts w:hint="eastAsia" w:ascii="Times New Roman" w:hAnsi="Times New Roman" w:eastAsia="仿宋_GB2312" w:cs="Times New Roman"/>
          <w:sz w:val="32"/>
          <w:szCs w:val="32"/>
          <w:highlight w:val="none"/>
          <w:lang w:val="en-US" w:eastAsia="zh-CN"/>
        </w:rPr>
        <w:t>41.3</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14:paraId="2FE4EFC2">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本年基本支出预算调整数为</w:t>
      </w:r>
      <w:r>
        <w:rPr>
          <w:rFonts w:hint="eastAsia" w:ascii="Times New Roman" w:hAnsi="Times New Roman" w:eastAsia="仿宋_GB2312" w:cs="Times New Roman"/>
          <w:sz w:val="32"/>
          <w:szCs w:val="32"/>
          <w:highlight w:val="none"/>
          <w:lang w:val="en-US" w:eastAsia="zh-CN"/>
        </w:rPr>
        <w:t>1163.26</w:t>
      </w:r>
      <w:r>
        <w:rPr>
          <w:rFonts w:hint="default" w:ascii="Times New Roman" w:hAnsi="Times New Roman" w:eastAsia="仿宋_GB2312" w:cs="Times New Roman"/>
          <w:sz w:val="32"/>
          <w:szCs w:val="32"/>
          <w:highlight w:val="none"/>
          <w:lang w:val="en-US" w:eastAsia="zh-CN"/>
        </w:rPr>
        <w:t>万元，包括人员经费</w:t>
      </w:r>
      <w:r>
        <w:rPr>
          <w:rFonts w:hint="eastAsia" w:ascii="Times New Roman" w:hAnsi="Times New Roman" w:eastAsia="仿宋_GB2312" w:cs="Times New Roman"/>
          <w:sz w:val="32"/>
          <w:szCs w:val="32"/>
          <w:highlight w:val="none"/>
          <w:lang w:val="en-US" w:eastAsia="zh-CN"/>
        </w:rPr>
        <w:t>978.43</w:t>
      </w:r>
      <w:r>
        <w:rPr>
          <w:rFonts w:hint="default" w:ascii="Times New Roman" w:hAnsi="Times New Roman" w:eastAsia="仿宋_GB2312" w:cs="Times New Roman"/>
          <w:sz w:val="32"/>
          <w:szCs w:val="32"/>
          <w:highlight w:val="none"/>
          <w:lang w:val="en-US" w:eastAsia="zh-CN"/>
        </w:rPr>
        <w:t>万元，公用经费</w:t>
      </w:r>
      <w:r>
        <w:rPr>
          <w:rFonts w:hint="eastAsia" w:ascii="Times New Roman" w:hAnsi="Times New Roman" w:eastAsia="仿宋_GB2312" w:cs="Times New Roman"/>
          <w:sz w:val="32"/>
          <w:szCs w:val="32"/>
          <w:highlight w:val="none"/>
          <w:lang w:val="en-US" w:eastAsia="zh-CN"/>
        </w:rPr>
        <w:t>184.83</w:t>
      </w:r>
      <w:r>
        <w:rPr>
          <w:rFonts w:hint="default" w:ascii="Times New Roman" w:hAnsi="Times New Roman" w:eastAsia="仿宋_GB2312" w:cs="Times New Roman"/>
          <w:sz w:val="32"/>
          <w:szCs w:val="32"/>
          <w:highlight w:val="none"/>
          <w:lang w:val="en-US" w:eastAsia="zh-CN"/>
        </w:rPr>
        <w:t>万元。</w:t>
      </w:r>
    </w:p>
    <w:p w14:paraId="253BD503">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14:paraId="0332AD78">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基本支出决算数为</w:t>
      </w:r>
      <w:r>
        <w:rPr>
          <w:rFonts w:hint="default" w:ascii="Times New Roman" w:hAnsi="Times New Roman" w:eastAsia="仿宋_GB2312" w:cs="Times New Roman"/>
          <w:sz w:val="32"/>
          <w:szCs w:val="32"/>
          <w:highlight w:val="none"/>
          <w:lang w:val="en-US" w:eastAsia="zh-CN"/>
        </w:rPr>
        <w:t>990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21万元，</w:t>
      </w:r>
      <w:r>
        <w:rPr>
          <w:rFonts w:hint="default" w:ascii="Times New Roman" w:hAnsi="Times New Roman" w:eastAsia="仿宋_GB2312" w:cs="Times New Roman"/>
          <w:sz w:val="32"/>
          <w:szCs w:val="32"/>
          <w:highlight w:val="none"/>
          <w:lang w:eastAsia="zh-CN"/>
        </w:rPr>
        <w:t>按</w:t>
      </w:r>
      <w:r>
        <w:rPr>
          <w:rFonts w:hint="default" w:ascii="Times New Roman" w:hAnsi="Times New Roman" w:eastAsia="仿宋_GB2312" w:cs="Times New Roman"/>
          <w:sz w:val="32"/>
          <w:szCs w:val="32"/>
          <w:highlight w:val="none"/>
        </w:rPr>
        <w:t>支出性质分类包括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人员经费830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62万元，公用经费159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59万元</w:t>
      </w:r>
      <w:r>
        <w:rPr>
          <w:rFonts w:hint="default" w:ascii="Times New Roman" w:hAnsi="Times New Roman" w:eastAsia="仿宋_GB2312" w:cs="Times New Roman"/>
          <w:sz w:val="32"/>
          <w:szCs w:val="32"/>
          <w:highlight w:val="none"/>
        </w:rPr>
        <w:t>；按支出经济分类包括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工资福利支出</w:t>
      </w:r>
      <w:r>
        <w:rPr>
          <w:rFonts w:hint="eastAsia" w:ascii="Times New Roman" w:hAnsi="Times New Roman" w:eastAsia="仿宋_GB2312" w:cs="Times New Roman"/>
          <w:sz w:val="32"/>
          <w:szCs w:val="32"/>
          <w:highlight w:val="none"/>
          <w:lang w:val="en-US" w:eastAsia="zh-CN"/>
        </w:rPr>
        <w:t>794</w:t>
      </w:r>
      <w:r>
        <w:rPr>
          <w:rFonts w:hint="default" w:ascii="Times New Roman" w:hAnsi="Times New Roman" w:eastAsia="仿宋_GB2312" w:cs="Times New Roman"/>
          <w:sz w:val="32"/>
          <w:szCs w:val="32"/>
          <w:highlight w:val="none"/>
        </w:rPr>
        <w:t>万元，商品和服务支出</w:t>
      </w:r>
      <w:r>
        <w:rPr>
          <w:rFonts w:hint="default" w:ascii="Times New Roman" w:hAnsi="Times New Roman" w:eastAsia="仿宋_GB2312" w:cs="Times New Roman"/>
          <w:sz w:val="32"/>
          <w:szCs w:val="32"/>
          <w:highlight w:val="none"/>
          <w:lang w:val="en-US" w:eastAsia="zh-CN"/>
        </w:rPr>
        <w:t>159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59</w:t>
      </w:r>
      <w:r>
        <w:rPr>
          <w:rFonts w:hint="default" w:ascii="Times New Roman" w:hAnsi="Times New Roman" w:eastAsia="仿宋_GB2312" w:cs="Times New Roman"/>
          <w:sz w:val="32"/>
          <w:szCs w:val="32"/>
          <w:highlight w:val="none"/>
        </w:rPr>
        <w:t>万元，对个人和家庭的补助</w:t>
      </w:r>
      <w:r>
        <w:rPr>
          <w:rFonts w:hint="eastAsia" w:ascii="Times New Roman" w:hAnsi="Times New Roman" w:eastAsia="仿宋_GB2312" w:cs="Times New Roman"/>
          <w:sz w:val="32"/>
          <w:szCs w:val="32"/>
          <w:highlight w:val="none"/>
          <w:lang w:val="en-US" w:eastAsia="zh-CN"/>
        </w:rPr>
        <w:t>36.62</w:t>
      </w:r>
      <w:r>
        <w:rPr>
          <w:rFonts w:hint="default" w:ascii="Times New Roman" w:hAnsi="Times New Roman" w:eastAsia="仿宋_GB2312" w:cs="Times New Roman"/>
          <w:sz w:val="32"/>
          <w:szCs w:val="32"/>
          <w:highlight w:val="none"/>
        </w:rPr>
        <w:t>万元。</w:t>
      </w:r>
    </w:p>
    <w:p w14:paraId="7F8070F6">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基本支出预算执行率为</w:t>
      </w:r>
      <w:r>
        <w:rPr>
          <w:rFonts w:hint="eastAsia" w:ascii="Times New Roman" w:hAnsi="Times New Roman" w:eastAsia="仿宋_GB2312" w:cs="Times New Roman"/>
          <w:sz w:val="32"/>
          <w:szCs w:val="32"/>
          <w:highlight w:val="none"/>
          <w:lang w:val="en-US" w:eastAsia="zh-CN"/>
        </w:rPr>
        <w:t>85.12</w:t>
      </w:r>
      <w:r>
        <w:rPr>
          <w:rFonts w:hint="default" w:ascii="Times New Roman" w:hAnsi="Times New Roman" w:eastAsia="仿宋_GB2312" w:cs="Times New Roman"/>
          <w:sz w:val="32"/>
          <w:szCs w:val="32"/>
          <w:highlight w:val="none"/>
        </w:rPr>
        <w:t>%，其中人员经费预算执行率为</w:t>
      </w:r>
      <w:r>
        <w:rPr>
          <w:rFonts w:hint="eastAsia" w:ascii="Times New Roman" w:hAnsi="Times New Roman" w:eastAsia="仿宋_GB2312" w:cs="Times New Roman"/>
          <w:sz w:val="32"/>
          <w:szCs w:val="32"/>
          <w:highlight w:val="none"/>
          <w:lang w:val="en-US" w:eastAsia="zh-CN"/>
        </w:rPr>
        <w:t>84.89</w:t>
      </w:r>
      <w:r>
        <w:rPr>
          <w:rFonts w:hint="default" w:ascii="Times New Roman" w:hAnsi="Times New Roman" w:eastAsia="仿宋_GB2312" w:cs="Times New Roman"/>
          <w:sz w:val="32"/>
          <w:szCs w:val="32"/>
          <w:highlight w:val="none"/>
        </w:rPr>
        <w:t>%，公用经费预算执行率为</w:t>
      </w:r>
      <w:r>
        <w:rPr>
          <w:rFonts w:hint="eastAsia" w:ascii="Times New Roman" w:hAnsi="Times New Roman" w:eastAsia="仿宋_GB2312" w:cs="Times New Roman"/>
          <w:sz w:val="32"/>
          <w:szCs w:val="32"/>
          <w:highlight w:val="none"/>
          <w:lang w:val="en-US" w:eastAsia="zh-CN"/>
        </w:rPr>
        <w:t>86.34</w:t>
      </w:r>
      <w:r>
        <w:rPr>
          <w:rFonts w:hint="default" w:ascii="Times New Roman" w:hAnsi="Times New Roman" w:eastAsia="仿宋_GB2312" w:cs="Times New Roman"/>
          <w:sz w:val="32"/>
          <w:szCs w:val="32"/>
          <w:highlight w:val="none"/>
        </w:rPr>
        <w:t>%。基本支出预算执行情况好。</w:t>
      </w:r>
    </w:p>
    <w:p w14:paraId="2206C3DC">
      <w:pPr>
        <w:widowControl/>
        <w:spacing w:line="600" w:lineRule="exact"/>
        <w:ind w:firstLine="643"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（二）项目支出情况</w:t>
      </w:r>
    </w:p>
    <w:p w14:paraId="230FA5F7">
      <w:pPr>
        <w:spacing w:line="560" w:lineRule="exact"/>
        <w:ind w:firstLine="629"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14:paraId="58233F90">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除省级专项资金以外的项目支出预算调整数为</w:t>
      </w:r>
      <w:r>
        <w:rPr>
          <w:rFonts w:hint="eastAsia" w:ascii="Times New Roman" w:hAnsi="Times New Roman" w:eastAsia="仿宋_GB2312" w:cs="Times New Roman"/>
          <w:sz w:val="32"/>
          <w:szCs w:val="32"/>
          <w:highlight w:val="none"/>
          <w:lang w:val="en-US" w:eastAsia="zh-CN"/>
        </w:rPr>
        <w:t>455.25</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包括：业务</w:t>
      </w:r>
      <w:r>
        <w:rPr>
          <w:rFonts w:hint="default" w:ascii="Times New Roman" w:hAnsi="Times New Roman" w:eastAsia="仿宋_GB2312" w:cs="Times New Roman"/>
          <w:sz w:val="32"/>
          <w:szCs w:val="32"/>
          <w:highlight w:val="none"/>
          <w:lang w:val="en-US" w:eastAsia="zh-CN"/>
        </w:rPr>
        <w:t>工作经费</w:t>
      </w:r>
      <w:r>
        <w:rPr>
          <w:rFonts w:hint="eastAsia" w:ascii="Times New Roman" w:hAnsi="Times New Roman" w:eastAsia="仿宋_GB2312" w:cs="Times New Roman"/>
          <w:sz w:val="32"/>
          <w:szCs w:val="32"/>
          <w:highlight w:val="none"/>
          <w:lang w:val="en-US" w:eastAsia="zh-CN"/>
        </w:rPr>
        <w:t>240.99</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其他事业发展资金214.26万元</w:t>
      </w:r>
      <w:r>
        <w:rPr>
          <w:rFonts w:hint="default" w:ascii="Times New Roman" w:hAnsi="Times New Roman" w:eastAsia="仿宋_GB2312" w:cs="Times New Roman"/>
          <w:sz w:val="32"/>
          <w:szCs w:val="32"/>
          <w:highlight w:val="none"/>
          <w:lang w:val="en-US" w:eastAsia="zh-CN"/>
        </w:rPr>
        <w:t>。</w:t>
      </w:r>
    </w:p>
    <w:p w14:paraId="45416494">
      <w:pPr>
        <w:spacing w:line="560" w:lineRule="exact"/>
        <w:ind w:firstLine="629" w:firstLineChars="200"/>
        <w:outlineLvl w:val="2"/>
        <w:rPr>
          <w:rFonts w:hint="default" w:ascii="Times New Roman" w:hAnsi="Times New Roman" w:eastAsia="仿宋_GB2312" w:cs="Times New Roman"/>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14:paraId="114F7308">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除省级专项资金以外的项目支出决算数为</w:t>
      </w:r>
      <w:r>
        <w:rPr>
          <w:rFonts w:hint="eastAsia" w:ascii="Times New Roman" w:hAnsi="Times New Roman" w:eastAsia="仿宋_GB2312" w:cs="Times New Roman"/>
          <w:sz w:val="32"/>
          <w:szCs w:val="32"/>
          <w:highlight w:val="none"/>
          <w:lang w:val="en-US" w:eastAsia="zh-CN"/>
        </w:rPr>
        <w:t>299.09</w:t>
      </w:r>
      <w:r>
        <w:rPr>
          <w:rFonts w:hint="default" w:ascii="Times New Roman" w:hAnsi="Times New Roman" w:eastAsia="仿宋_GB2312" w:cs="Times New Roman"/>
          <w:sz w:val="32"/>
          <w:szCs w:val="32"/>
          <w:highlight w:val="none"/>
        </w:rPr>
        <w:t>万元，预算执行率</w:t>
      </w:r>
      <w:r>
        <w:rPr>
          <w:rFonts w:hint="eastAsia" w:ascii="Times New Roman" w:hAnsi="Times New Roman" w:eastAsia="仿宋_GB2312" w:cs="Times New Roman"/>
          <w:sz w:val="32"/>
          <w:szCs w:val="32"/>
          <w:highlight w:val="none"/>
          <w:lang w:val="en-US" w:eastAsia="zh-CN"/>
        </w:rPr>
        <w:t>65.7</w:t>
      </w:r>
      <w:r>
        <w:rPr>
          <w:rFonts w:hint="default" w:ascii="Times New Roman" w:hAnsi="Times New Roman" w:eastAsia="仿宋_GB2312" w:cs="Times New Roman"/>
          <w:sz w:val="32"/>
          <w:szCs w:val="32"/>
          <w:highlight w:val="none"/>
        </w:rPr>
        <w:t>%，包括：业务工作经</w:t>
      </w:r>
      <w:r>
        <w:rPr>
          <w:rFonts w:hint="default" w:ascii="Times New Roman" w:hAnsi="Times New Roman" w:eastAsia="仿宋_GB2312" w:cs="Times New Roman"/>
          <w:sz w:val="32"/>
          <w:szCs w:val="32"/>
          <w:highlight w:val="none"/>
          <w:lang w:val="en-US" w:eastAsia="zh-CN"/>
        </w:rPr>
        <w:t>费</w:t>
      </w:r>
      <w:r>
        <w:rPr>
          <w:rFonts w:hint="eastAsia" w:ascii="Times New Roman" w:hAnsi="Times New Roman" w:eastAsia="仿宋_GB2312" w:cs="Times New Roman"/>
          <w:sz w:val="32"/>
          <w:szCs w:val="32"/>
          <w:highlight w:val="none"/>
          <w:lang w:val="en-US" w:eastAsia="zh-CN"/>
        </w:rPr>
        <w:t>184.49</w:t>
      </w:r>
      <w:r>
        <w:rPr>
          <w:rFonts w:hint="default" w:ascii="Times New Roman" w:hAnsi="Times New Roman" w:eastAsia="仿宋_GB2312" w:cs="Times New Roman"/>
          <w:sz w:val="32"/>
          <w:szCs w:val="32"/>
          <w:highlight w:val="none"/>
          <w:lang w:val="en-US" w:eastAsia="zh-CN"/>
        </w:rPr>
        <w:t>万元，预</w:t>
      </w:r>
      <w:r>
        <w:rPr>
          <w:rFonts w:hint="default" w:ascii="Times New Roman" w:hAnsi="Times New Roman" w:eastAsia="仿宋_GB2312" w:cs="Times New Roman"/>
          <w:sz w:val="32"/>
          <w:szCs w:val="32"/>
          <w:highlight w:val="none"/>
        </w:rPr>
        <w:t>算执行率</w:t>
      </w:r>
      <w:r>
        <w:rPr>
          <w:rFonts w:hint="eastAsia" w:ascii="Times New Roman" w:hAnsi="Times New Roman" w:eastAsia="仿宋_GB2312" w:cs="Times New Roman"/>
          <w:sz w:val="32"/>
          <w:szCs w:val="32"/>
          <w:highlight w:val="none"/>
          <w:lang w:val="en-US" w:eastAsia="zh-CN"/>
        </w:rPr>
        <w:t>76.56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lang w:eastAsia="zh-CN"/>
        </w:rPr>
        <w:t>事业发展资金</w:t>
      </w:r>
      <w:r>
        <w:rPr>
          <w:rFonts w:hint="eastAsia" w:ascii="Times New Roman" w:hAnsi="Times New Roman" w:eastAsia="仿宋_GB2312" w:cs="Times New Roman"/>
          <w:sz w:val="32"/>
          <w:szCs w:val="32"/>
          <w:highlight w:val="none"/>
          <w:lang w:val="en-US" w:eastAsia="zh-CN"/>
        </w:rPr>
        <w:t>114.6</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预算执行率</w:t>
      </w:r>
      <w:r>
        <w:rPr>
          <w:rFonts w:hint="eastAsia" w:ascii="Times New Roman" w:hAnsi="Times New Roman" w:eastAsia="仿宋_GB2312" w:cs="Times New Roman"/>
          <w:sz w:val="32"/>
          <w:szCs w:val="32"/>
          <w:highlight w:val="none"/>
          <w:lang w:val="en-US" w:eastAsia="zh-CN"/>
        </w:rPr>
        <w:t>53.49</w:t>
      </w:r>
      <w:r>
        <w:rPr>
          <w:rFonts w:hint="default" w:ascii="Times New Roman" w:hAnsi="Times New Roman" w:eastAsia="仿宋_GB2312" w:cs="Times New Roman"/>
          <w:sz w:val="32"/>
          <w:szCs w:val="32"/>
          <w:highlight w:val="none"/>
        </w:rPr>
        <w:t>%。</w:t>
      </w:r>
    </w:p>
    <w:p w14:paraId="163E83EF">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573CA885">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度本部门无政府性基金预算支出。</w:t>
      </w:r>
    </w:p>
    <w:p w14:paraId="4540A40E">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5C8B5685">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度本部门无国有资本经营预算支出。</w:t>
      </w:r>
    </w:p>
    <w:p w14:paraId="061F25FC">
      <w:pPr>
        <w:widowControl/>
        <w:numPr>
          <w:ilvl w:val="0"/>
          <w:numId w:val="2"/>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05CB67A8">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度本部门无社会保险基金预算支出。</w:t>
      </w:r>
    </w:p>
    <w:p w14:paraId="5C5AF1C1">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3CDC85D">
      <w:pPr>
        <w:snapToGrid w:val="0"/>
        <w:spacing w:line="580" w:lineRule="exact"/>
        <w:ind w:firstLine="643" w:firstLineChars="200"/>
        <w:rPr>
          <w:rFonts w:eastAsia="仿宋_GB2312"/>
          <w:sz w:val="32"/>
          <w:szCs w:val="32"/>
        </w:rPr>
      </w:pPr>
      <w:r>
        <w:rPr>
          <w:rFonts w:hint="eastAsia" w:eastAsia="仿宋_GB2312"/>
          <w:b/>
          <w:bCs/>
          <w:sz w:val="32"/>
          <w:szCs w:val="32"/>
          <w:lang w:eastAsia="zh-CN"/>
        </w:rPr>
        <w:t>（一）</w:t>
      </w:r>
      <w:r>
        <w:rPr>
          <w:rFonts w:eastAsia="仿宋_GB2312"/>
          <w:b/>
          <w:bCs/>
          <w:sz w:val="32"/>
          <w:szCs w:val="32"/>
        </w:rPr>
        <w:t>加强顶层设计谋划。</w:t>
      </w:r>
      <w:r>
        <w:rPr>
          <w:rFonts w:eastAsia="仿宋_GB2312"/>
          <w:sz w:val="32"/>
          <w:szCs w:val="32"/>
        </w:rPr>
        <w:t>以“一座城”的理念谋划长株潭一体化重点任务清单，实施“一厅一道一园一廊四张网”36项重大项目、24项重大改革和18项产业协同发展政策，以领导小组名义印发实施，项目化、清单化推进长株潭“一座城”建设落实落地。优化调整长株潭一体化发展领导小组组织架构。完善了“省委每半年听一次汇报、省政府每季度研究一次”的一体化工作推进机制。建立标志性工程推进机制，实行每月一调度、每季一小结，并针对推进慢的项目，进行督促落实。</w:t>
      </w:r>
    </w:p>
    <w:p w14:paraId="0BB09D49">
      <w:pPr>
        <w:snapToGrid w:val="0"/>
        <w:spacing w:line="580" w:lineRule="exact"/>
        <w:ind w:firstLine="643" w:firstLineChars="200"/>
        <w:rPr>
          <w:rFonts w:eastAsia="仿宋_GB2312"/>
          <w:sz w:val="32"/>
          <w:szCs w:val="32"/>
        </w:rPr>
      </w:pPr>
      <w:r>
        <w:rPr>
          <w:rFonts w:hint="eastAsia" w:eastAsia="仿宋_GB2312"/>
          <w:b/>
          <w:bCs/>
          <w:sz w:val="32"/>
          <w:szCs w:val="32"/>
          <w:lang w:eastAsia="zh-CN"/>
        </w:rPr>
        <w:t>（二）</w:t>
      </w:r>
      <w:r>
        <w:rPr>
          <w:rFonts w:eastAsia="仿宋_GB2312"/>
          <w:b/>
          <w:bCs/>
          <w:sz w:val="32"/>
          <w:szCs w:val="32"/>
        </w:rPr>
        <w:t>积极推进年度重点任务。</w:t>
      </w:r>
      <w:r>
        <w:rPr>
          <w:rFonts w:eastAsia="仿宋_GB2312"/>
          <w:sz w:val="32"/>
          <w:szCs w:val="32"/>
        </w:rPr>
        <w:t>围绕落实三年行动计划，制定长株潭一体化发展2024年工作要点，铺排了5个方面26项重点工作</w:t>
      </w:r>
      <w:r>
        <w:rPr>
          <w:rFonts w:hint="eastAsia" w:eastAsia="仿宋_GB2312"/>
          <w:sz w:val="32"/>
          <w:szCs w:val="32"/>
        </w:rPr>
        <w:t>，已基本完成</w:t>
      </w:r>
      <w:r>
        <w:rPr>
          <w:rFonts w:eastAsia="仿宋_GB2312"/>
          <w:sz w:val="32"/>
          <w:szCs w:val="32"/>
        </w:rPr>
        <w:t>。组织召开3次领导小组成员单位联络员会议，梳理重点工作落实情况，研究安排下阶段工作。编制印发2期《长株潭一体化专报》，梳理园区合作共建、长株潭一体化发展工作进展情况，报送有关省领导和长株潭一体化发展领导小组成员单位。</w:t>
      </w:r>
    </w:p>
    <w:p w14:paraId="34B8AD95">
      <w:pPr>
        <w:snapToGrid w:val="0"/>
        <w:spacing w:line="580" w:lineRule="exact"/>
        <w:ind w:firstLine="643" w:firstLineChars="200"/>
        <w:rPr>
          <w:rFonts w:eastAsia="仿宋_GB2312"/>
          <w:sz w:val="32"/>
          <w:szCs w:val="32"/>
        </w:rPr>
      </w:pPr>
      <w:r>
        <w:rPr>
          <w:rFonts w:hint="eastAsia" w:eastAsia="仿宋_GB2312"/>
          <w:b/>
          <w:bCs/>
          <w:sz w:val="32"/>
          <w:szCs w:val="32"/>
          <w:lang w:eastAsia="zh-CN"/>
        </w:rPr>
        <w:t>（三）</w:t>
      </w:r>
      <w:r>
        <w:rPr>
          <w:rFonts w:eastAsia="仿宋_GB2312"/>
          <w:b/>
          <w:bCs/>
          <w:sz w:val="32"/>
          <w:szCs w:val="32"/>
        </w:rPr>
        <w:t>推动重点领域改革创新。</w:t>
      </w:r>
      <w:r>
        <w:rPr>
          <w:rFonts w:eastAsia="仿宋_GB2312"/>
          <w:sz w:val="32"/>
          <w:szCs w:val="32"/>
        </w:rPr>
        <w:t>编制完成《长株潭一体化产业发展指导目录》，已报省人民政府同意印发。起草了《关于推动园区合作共建高质量发展的若干政策措施》，拟于近期印发实施。</w:t>
      </w:r>
      <w:r>
        <w:rPr>
          <w:rFonts w:hint="eastAsia" w:eastAsia="仿宋_GB2312"/>
          <w:sz w:val="32"/>
          <w:szCs w:val="32"/>
        </w:rPr>
        <w:t>起草</w:t>
      </w:r>
      <w:r>
        <w:rPr>
          <w:rFonts w:eastAsia="仿宋_GB2312"/>
          <w:sz w:val="32"/>
          <w:szCs w:val="32"/>
        </w:rPr>
        <w:t>《关于加强湘江科学城建设统筹情况汇报》《湘江科学城建设有关情况汇报》</w:t>
      </w:r>
      <w:r>
        <w:rPr>
          <w:rFonts w:hint="eastAsia" w:eastAsia="仿宋_GB2312"/>
          <w:sz w:val="32"/>
          <w:szCs w:val="32"/>
        </w:rPr>
        <w:t>，</w:t>
      </w:r>
      <w:r>
        <w:rPr>
          <w:rFonts w:eastAsia="仿宋_GB2312"/>
          <w:sz w:val="32"/>
          <w:szCs w:val="32"/>
        </w:rPr>
        <w:t>为</w:t>
      </w:r>
      <w:r>
        <w:rPr>
          <w:rFonts w:hint="eastAsia" w:eastAsia="仿宋_GB2312"/>
          <w:sz w:val="32"/>
          <w:szCs w:val="32"/>
        </w:rPr>
        <w:t>省委省政府</w:t>
      </w:r>
      <w:r>
        <w:rPr>
          <w:rFonts w:eastAsia="仿宋_GB2312"/>
          <w:sz w:val="32"/>
          <w:szCs w:val="32"/>
        </w:rPr>
        <w:t>决策提供参考。推进长株潭民生共建共享相关工作，梳理了“可实现但暂未实现共享的项目”相关情况。</w:t>
      </w:r>
    </w:p>
    <w:p w14:paraId="74FAEA55">
      <w:pPr>
        <w:snapToGrid w:val="0"/>
        <w:spacing w:line="580" w:lineRule="exact"/>
        <w:ind w:firstLine="643" w:firstLineChars="200"/>
        <w:rPr>
          <w:rFonts w:eastAsia="仿宋_GB2312"/>
          <w:sz w:val="32"/>
          <w:szCs w:val="32"/>
        </w:rPr>
      </w:pPr>
      <w:r>
        <w:rPr>
          <w:rFonts w:hint="eastAsia" w:eastAsia="仿宋_GB2312"/>
          <w:b/>
          <w:bCs/>
          <w:sz w:val="32"/>
          <w:szCs w:val="32"/>
          <w:lang w:eastAsia="zh-CN"/>
        </w:rPr>
        <w:t>（四）</w:t>
      </w:r>
      <w:r>
        <w:rPr>
          <w:rFonts w:eastAsia="仿宋_GB2312"/>
          <w:b/>
          <w:bCs/>
          <w:sz w:val="32"/>
          <w:szCs w:val="32"/>
        </w:rPr>
        <w:t>持续用力抓好绿心保护发展。</w:t>
      </w:r>
      <w:r>
        <w:rPr>
          <w:rFonts w:eastAsia="仿宋_GB2312"/>
          <w:sz w:val="32"/>
          <w:szCs w:val="32"/>
        </w:rPr>
        <w:t>完善绿心规划和政策体系，配合省人大常委会修订绿心保护条例，积极推进绿心总规优化调整，研究制定项目准入管理办法、核心保护区正面清单和融合发展区负面清单，协同相关省直部门，抓紧制定林相改造提升、水资源利用、乡村振兴、资金投入整合、生态补偿、信息化系统等方面政策。探索绿色转型发展路径，起草绿心地区加快绿色转型发展实施方案，相关报告两次获得国务院领导批示，得到国家发改委肯定和支持。谋划重大项目支撑，从生态、融城、民生、产业等方面谋划了近期实施的30多个重大项目，推进4个EOD项目，湖湘绿厅、环形绿道等项目可于明年一季度完成可研及招投标；花博园、奥体中心、奥体公园等项目进展顺利。提升绿心居民生活品质，编制规范长株潭生态绿心农民住房建设的绿心农民建房管理办法，开展农民适度集中居住起步区的规划选址，系统谋划就业、社会保障、人居环境等普惠性、基础性、兜底性公共服务。持续强化绿心保护监管执法，配合省纪委开展“洞庭清波”绿心保护专项整治工作，12个问题已销号9个；推进绿心公益诉讼检察专项行动，完善绿心保护常态化监管机制，完成69个项目准入的技术审查，以及四批次444个卫星图斑核实。在2024年的中央环保督查中，涉及绿心准入的问题实现“零反馈、零交办”。</w:t>
      </w:r>
    </w:p>
    <w:p w14:paraId="2014E241">
      <w:pPr>
        <w:keepNext w:val="0"/>
        <w:keepLines w:val="0"/>
        <w:pageBreakBefore w:val="0"/>
        <w:widowControl w:val="0"/>
        <w:kinsoku/>
        <w:wordWrap/>
        <w:overflowPunct/>
        <w:topLinePunct w:val="0"/>
        <w:autoSpaceDE/>
        <w:autoSpaceDN/>
        <w:bidi w:val="0"/>
        <w:snapToGrid w:val="0"/>
        <w:spacing w:line="596" w:lineRule="exact"/>
        <w:ind w:firstLine="643" w:firstLineChars="200"/>
        <w:textAlignment w:val="auto"/>
        <w:rPr>
          <w:rFonts w:hint="default" w:ascii="Times New Roman" w:hAnsi="Times New Roman" w:eastAsia="仿宋_GB2312" w:cs="Times New Roman"/>
          <w:sz w:val="32"/>
          <w:szCs w:val="32"/>
        </w:rPr>
      </w:pPr>
      <w:r>
        <w:rPr>
          <w:rFonts w:hint="eastAsia" w:eastAsia="仿宋_GB2312"/>
          <w:b/>
          <w:bCs/>
          <w:sz w:val="32"/>
          <w:szCs w:val="32"/>
          <w:lang w:eastAsia="zh-CN"/>
        </w:rPr>
        <w:t>（五）</w:t>
      </w:r>
      <w:r>
        <w:rPr>
          <w:rFonts w:eastAsia="仿宋_GB2312"/>
          <w:b/>
          <w:bCs/>
          <w:sz w:val="32"/>
          <w:szCs w:val="32"/>
        </w:rPr>
        <w:t>强化宣传引导。</w:t>
      </w:r>
      <w:r>
        <w:rPr>
          <w:rFonts w:eastAsia="仿宋_GB2312"/>
          <w:sz w:val="32"/>
          <w:szCs w:val="32"/>
        </w:rPr>
        <w:t>抓实长株潭都市圈展示馆宣传阵地，通过更新展陈内容、举办主题活动等方式，积极提升展馆接待水平和知名度，全年共接待参观人数32.7万人次，同比增长52%。接待团队140余批次。创建长株潭都市圈微信公众号（视频号），全年关注人数17.4万，发布稿件804篇，视频播放总量达430万次，更新频次、粉丝量、专题专栏数量、点赞关注等各项指标在政务微信公众号类处中上游位次，多篇原创内容被新华网、澎湃新闻，湖南省政府官网等重要平台引用和转载。强化新湖南长株潭一体化频道运营管理，全年上稿853篇，推出11个大中小专题，</w:t>
      </w:r>
      <w:r>
        <w:rPr>
          <w:rFonts w:eastAsia="仿宋_GB2312"/>
          <w:spacing w:val="-2"/>
          <w:sz w:val="32"/>
          <w:szCs w:val="32"/>
        </w:rPr>
        <w:t>总阅读量达1962万次。策划《长株潭一体化发展今年实施75个标志性工程 总投资超6500亿元》《&lt;长株潭一体化重点任务清单&gt;发布：三市“一座城”</w:t>
      </w:r>
      <w:r>
        <w:rPr>
          <w:rFonts w:hint="eastAsia" w:eastAsia="仿宋_GB2312"/>
          <w:spacing w:val="-2"/>
          <w:sz w:val="32"/>
          <w:szCs w:val="32"/>
        </w:rPr>
        <w:t xml:space="preserve"> </w:t>
      </w:r>
      <w:r>
        <w:rPr>
          <w:rFonts w:eastAsia="仿宋_GB2312"/>
          <w:spacing w:val="-2"/>
          <w:sz w:val="32"/>
          <w:szCs w:val="32"/>
        </w:rPr>
        <w:t>活力都市圈》等原创深度报道，被人民网、新华网、学习强国转载，总传播力超1600万次。</w:t>
      </w:r>
    </w:p>
    <w:p w14:paraId="00F5DDF3">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9980329">
      <w:pPr>
        <w:keepNext w:val="0"/>
        <w:keepLines w:val="0"/>
        <w:pageBreakBefore w:val="0"/>
        <w:widowControl w:val="0"/>
        <w:kinsoku/>
        <w:wordWrap/>
        <w:overflowPunct/>
        <w:topLinePunct w:val="0"/>
        <w:autoSpaceDE/>
        <w:autoSpaceDN/>
        <w:bidi w:val="0"/>
        <w:snapToGrid w:val="0"/>
        <w:spacing w:line="596" w:lineRule="exact"/>
        <w:ind w:firstLine="632" w:firstLineChars="200"/>
        <w:textAlignment w:val="auto"/>
        <w:rPr>
          <w:rFonts w:hint="default" w:eastAsia="仿宋_GB2312"/>
          <w:spacing w:val="-2"/>
          <w:sz w:val="32"/>
          <w:szCs w:val="32"/>
          <w:lang w:eastAsia="zh-CN"/>
        </w:rPr>
      </w:pPr>
      <w:r>
        <w:rPr>
          <w:rFonts w:hint="eastAsia" w:eastAsia="仿宋_GB2312"/>
          <w:spacing w:val="-2"/>
          <w:sz w:val="32"/>
          <w:szCs w:val="32"/>
          <w:lang w:eastAsia="zh-CN"/>
        </w:rPr>
        <w:t>项目支出</w:t>
      </w:r>
      <w:r>
        <w:rPr>
          <w:rFonts w:hint="default" w:eastAsia="仿宋_GB2312"/>
          <w:spacing w:val="-2"/>
          <w:sz w:val="32"/>
          <w:szCs w:val="32"/>
          <w:lang w:val="en-US" w:eastAsia="zh-CN"/>
        </w:rPr>
        <w:t>预算执行</w:t>
      </w:r>
      <w:r>
        <w:rPr>
          <w:rFonts w:hint="eastAsia" w:eastAsia="仿宋_GB2312"/>
          <w:spacing w:val="-2"/>
          <w:sz w:val="32"/>
          <w:szCs w:val="32"/>
          <w:lang w:val="en-US" w:eastAsia="zh-CN"/>
        </w:rPr>
        <w:t>率</w:t>
      </w:r>
      <w:r>
        <w:rPr>
          <w:rFonts w:hint="eastAsia" w:eastAsia="仿宋_GB2312"/>
          <w:spacing w:val="-2"/>
          <w:sz w:val="32"/>
          <w:szCs w:val="32"/>
          <w:lang w:eastAsia="zh-CN"/>
        </w:rPr>
        <w:t>相较</w:t>
      </w:r>
      <w:r>
        <w:rPr>
          <w:rFonts w:hint="eastAsia" w:eastAsia="仿宋_GB2312"/>
          <w:spacing w:val="-2"/>
          <w:sz w:val="32"/>
          <w:szCs w:val="32"/>
          <w:lang w:val="en-US" w:eastAsia="zh-CN"/>
        </w:rPr>
        <w:t>2023年有所提升，但仍然有待进一步提高</w:t>
      </w:r>
      <w:r>
        <w:rPr>
          <w:rFonts w:hint="default" w:eastAsia="仿宋_GB2312"/>
          <w:spacing w:val="-2"/>
          <w:sz w:val="32"/>
          <w:szCs w:val="32"/>
          <w:lang w:val="en-US" w:eastAsia="zh-CN"/>
        </w:rPr>
        <w:t>，</w:t>
      </w:r>
      <w:r>
        <w:rPr>
          <w:rFonts w:hint="eastAsia" w:eastAsia="仿宋_GB2312"/>
          <w:spacing w:val="-2"/>
          <w:sz w:val="32"/>
          <w:szCs w:val="32"/>
          <w:lang w:eastAsia="zh-CN"/>
        </w:rPr>
        <w:t>202</w:t>
      </w:r>
      <w:r>
        <w:rPr>
          <w:rFonts w:hint="eastAsia" w:eastAsia="仿宋_GB2312"/>
          <w:spacing w:val="-2"/>
          <w:sz w:val="32"/>
          <w:szCs w:val="32"/>
          <w:lang w:val="en-US" w:eastAsia="zh-CN"/>
        </w:rPr>
        <w:t>4</w:t>
      </w:r>
      <w:r>
        <w:rPr>
          <w:rFonts w:hint="eastAsia" w:eastAsia="仿宋_GB2312"/>
          <w:spacing w:val="-2"/>
          <w:sz w:val="32"/>
          <w:szCs w:val="32"/>
          <w:lang w:eastAsia="zh-CN"/>
        </w:rPr>
        <w:t>年</w:t>
      </w:r>
      <w:r>
        <w:rPr>
          <w:rFonts w:hint="default" w:eastAsia="仿宋_GB2312"/>
          <w:spacing w:val="-2"/>
          <w:sz w:val="32"/>
          <w:szCs w:val="32"/>
        </w:rPr>
        <w:t>除省级专项资金以外的项目支出预算执行率</w:t>
      </w:r>
      <w:r>
        <w:rPr>
          <w:rFonts w:hint="eastAsia" w:eastAsia="仿宋_GB2312"/>
          <w:spacing w:val="-2"/>
          <w:sz w:val="32"/>
          <w:szCs w:val="32"/>
          <w:lang w:val="en-US" w:eastAsia="zh-CN"/>
        </w:rPr>
        <w:t>65.7</w:t>
      </w:r>
      <w:r>
        <w:rPr>
          <w:rFonts w:hint="default" w:eastAsia="仿宋_GB2312"/>
          <w:spacing w:val="-2"/>
          <w:sz w:val="32"/>
          <w:szCs w:val="32"/>
        </w:rPr>
        <w:t>%，</w:t>
      </w:r>
      <w:r>
        <w:rPr>
          <w:rFonts w:hint="eastAsia" w:eastAsia="仿宋_GB2312"/>
          <w:spacing w:val="-2"/>
          <w:sz w:val="32"/>
          <w:szCs w:val="32"/>
          <w:lang w:eastAsia="zh-CN"/>
        </w:rPr>
        <w:t>其中：</w:t>
      </w:r>
      <w:r>
        <w:rPr>
          <w:rFonts w:hint="default" w:eastAsia="仿宋_GB2312"/>
          <w:spacing w:val="-2"/>
          <w:sz w:val="32"/>
          <w:szCs w:val="32"/>
        </w:rPr>
        <w:t>业务工作经费预算执行率</w:t>
      </w:r>
      <w:r>
        <w:rPr>
          <w:rFonts w:hint="eastAsia" w:eastAsia="仿宋_GB2312"/>
          <w:spacing w:val="-2"/>
          <w:sz w:val="32"/>
          <w:szCs w:val="32"/>
          <w:lang w:val="en-US" w:eastAsia="zh-CN"/>
        </w:rPr>
        <w:t>76.56</w:t>
      </w:r>
      <w:r>
        <w:rPr>
          <w:rFonts w:hint="default" w:eastAsia="仿宋_GB2312"/>
          <w:spacing w:val="-2"/>
          <w:sz w:val="32"/>
          <w:szCs w:val="32"/>
        </w:rPr>
        <w:t>%；</w:t>
      </w:r>
      <w:r>
        <w:rPr>
          <w:rFonts w:hint="eastAsia" w:eastAsia="仿宋_GB2312"/>
          <w:spacing w:val="-2"/>
          <w:sz w:val="32"/>
          <w:szCs w:val="32"/>
          <w:lang w:eastAsia="zh-CN"/>
        </w:rPr>
        <w:t>其他</w:t>
      </w:r>
      <w:r>
        <w:rPr>
          <w:rFonts w:hint="default" w:eastAsia="仿宋_GB2312"/>
          <w:spacing w:val="-2"/>
          <w:sz w:val="32"/>
          <w:szCs w:val="32"/>
          <w:lang w:eastAsia="zh-CN"/>
        </w:rPr>
        <w:t>事业发展资金</w:t>
      </w:r>
      <w:r>
        <w:rPr>
          <w:rFonts w:hint="default" w:eastAsia="仿宋_GB2312"/>
          <w:spacing w:val="-2"/>
          <w:sz w:val="32"/>
          <w:szCs w:val="32"/>
        </w:rPr>
        <w:t>预算执行率</w:t>
      </w:r>
      <w:r>
        <w:rPr>
          <w:rFonts w:hint="eastAsia" w:eastAsia="仿宋_GB2312"/>
          <w:spacing w:val="-2"/>
          <w:sz w:val="32"/>
          <w:szCs w:val="32"/>
          <w:lang w:val="en-US" w:eastAsia="zh-CN"/>
        </w:rPr>
        <w:t>53.49</w:t>
      </w:r>
      <w:r>
        <w:rPr>
          <w:rFonts w:hint="default" w:eastAsia="仿宋_GB2312"/>
          <w:spacing w:val="-2"/>
          <w:sz w:val="32"/>
          <w:szCs w:val="32"/>
        </w:rPr>
        <w:t>%</w:t>
      </w:r>
      <w:r>
        <w:rPr>
          <w:rFonts w:hint="eastAsia" w:eastAsia="仿宋_GB2312"/>
          <w:spacing w:val="-2"/>
          <w:sz w:val="32"/>
          <w:szCs w:val="32"/>
          <w:lang w:eastAsia="zh-CN"/>
        </w:rPr>
        <w:t>。</w:t>
      </w:r>
      <w:r>
        <w:rPr>
          <w:rFonts w:hint="default" w:eastAsia="仿宋_GB2312"/>
          <w:spacing w:val="-2"/>
          <w:sz w:val="32"/>
          <w:szCs w:val="32"/>
          <w:lang w:eastAsia="zh-CN"/>
        </w:rPr>
        <w:t>主要原因</w:t>
      </w:r>
      <w:r>
        <w:rPr>
          <w:rFonts w:hint="eastAsia" w:eastAsia="仿宋_GB2312"/>
          <w:spacing w:val="-2"/>
          <w:sz w:val="32"/>
          <w:szCs w:val="32"/>
          <w:lang w:eastAsia="zh-CN"/>
        </w:rPr>
        <w:t>是</w:t>
      </w:r>
      <w:r>
        <w:rPr>
          <w:rFonts w:hint="default" w:eastAsia="仿宋_GB2312"/>
          <w:spacing w:val="-2"/>
          <w:sz w:val="32"/>
          <w:szCs w:val="32"/>
          <w:lang w:val="en-US" w:eastAsia="zh-CN"/>
        </w:rPr>
        <w:t>项目开展周期普遍较长以及结转结余资金规模占比较大，部分项目跨年结算</w:t>
      </w:r>
      <w:r>
        <w:rPr>
          <w:rFonts w:hint="eastAsia" w:eastAsia="仿宋_GB2312"/>
          <w:spacing w:val="-2"/>
          <w:sz w:val="32"/>
          <w:szCs w:val="32"/>
          <w:lang w:val="en-US" w:eastAsia="zh-CN"/>
        </w:rPr>
        <w:t>项目</w:t>
      </w:r>
      <w:r>
        <w:rPr>
          <w:rFonts w:hint="default" w:eastAsia="仿宋_GB2312"/>
          <w:spacing w:val="-2"/>
          <w:sz w:val="32"/>
          <w:szCs w:val="32"/>
          <w:lang w:val="en-US" w:eastAsia="zh-CN"/>
        </w:rPr>
        <w:t>影响预算执行进度。</w:t>
      </w:r>
    </w:p>
    <w:p w14:paraId="0A6D2947">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6EEC6E34">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eastAsia="仿宋_GB2312"/>
          <w:sz w:val="32"/>
          <w:szCs w:val="32"/>
          <w:lang w:eastAsia="zh-CN"/>
        </w:rPr>
      </w:pPr>
      <w:r>
        <w:rPr>
          <w:rFonts w:hint="default" w:eastAsia="仿宋_GB2312"/>
          <w:sz w:val="32"/>
          <w:szCs w:val="32"/>
        </w:rPr>
        <w:t>下一步本部门将按照有关要求全面清理基本支出与两年以上结转结余项目资金，并上交财政；对未实施完的结转项目经费，下年度将加大项目实施进度，争取尽快形成实际支出</w:t>
      </w:r>
      <w:r>
        <w:rPr>
          <w:rFonts w:hint="eastAsia" w:eastAsia="仿宋_GB2312"/>
          <w:sz w:val="32"/>
          <w:szCs w:val="32"/>
          <w:lang w:eastAsia="zh-CN"/>
        </w:rPr>
        <w:t>；</w:t>
      </w:r>
      <w:r>
        <w:rPr>
          <w:rFonts w:hint="default" w:eastAsia="仿宋_GB2312"/>
          <w:sz w:val="32"/>
          <w:szCs w:val="32"/>
          <w:lang w:val="en-US" w:eastAsia="zh-CN"/>
        </w:rPr>
        <w:t>增强项目预算资金配置合理性、精准性，强化项目管理与预算执行进度管理，提高整体预算执行进度</w:t>
      </w:r>
      <w:r>
        <w:rPr>
          <w:rFonts w:hint="default" w:eastAsia="仿宋_GB2312"/>
          <w:sz w:val="32"/>
          <w:szCs w:val="32"/>
        </w:rPr>
        <w:t>。</w:t>
      </w:r>
    </w:p>
    <w:p w14:paraId="6892C2F2">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32DDE9AE">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eastAsia="仿宋_GB2312"/>
          <w:sz w:val="32"/>
          <w:szCs w:val="32"/>
        </w:rPr>
      </w:pPr>
      <w:r>
        <w:rPr>
          <w:rFonts w:hint="default" w:eastAsia="仿宋_GB2312"/>
          <w:sz w:val="32"/>
          <w:szCs w:val="32"/>
        </w:rPr>
        <w:t>部门整体支出绩效自评结果将作为以后年度项目立项和经费支持的重要依据，对于绩效自评结果与实际情况出入较大或绩效较差的项目，下一年度项目预算将从紧从严安排资金。本部门将</w:t>
      </w:r>
      <w:r>
        <w:rPr>
          <w:rFonts w:hint="default" w:eastAsia="仿宋_GB2312"/>
          <w:sz w:val="32"/>
          <w:szCs w:val="32"/>
          <w:lang w:val="en-US" w:eastAsia="zh-CN"/>
        </w:rPr>
        <w:t>积极做好公开工作，</w:t>
      </w:r>
      <w:r>
        <w:rPr>
          <w:rFonts w:hint="default" w:eastAsia="仿宋_GB2312"/>
          <w:sz w:val="32"/>
          <w:szCs w:val="32"/>
        </w:rPr>
        <w:t>按规定内容在规定时限内公开部门整体支出绩效自评报告，接受社会监督。</w:t>
      </w:r>
    </w:p>
    <w:p w14:paraId="4C0D85BD">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11194F7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F52D02A">
      <w:pPr>
        <w:rPr>
          <w:rFonts w:hint="default" w:ascii="Times New Roman" w:hAnsi="Times New Roman" w:cs="Times New Roman"/>
        </w:rPr>
      </w:pPr>
    </w:p>
    <w:p w14:paraId="2D35374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52E735C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1、部门整体支出绩效评价基础数据表</w:t>
      </w:r>
    </w:p>
    <w:p w14:paraId="788796B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14:paraId="670DC0E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3、项目支出绩效自评表</w:t>
      </w:r>
    </w:p>
    <w:p w14:paraId="6DA042B8">
      <w:pPr>
        <w:widowControl/>
        <w:spacing w:afterLines="50" w:line="600" w:lineRule="exact"/>
        <w:ind w:firstLine="4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rPr>
        <w:t>附件1</w:t>
      </w:r>
    </w:p>
    <w:p w14:paraId="04D8622A">
      <w:pPr>
        <w:spacing w:afterLines="50" w:line="600" w:lineRule="exact"/>
        <w:jc w:val="center"/>
        <w:rPr>
          <w:rFonts w:hint="default" w:ascii="Times New Roman" w:hAnsi="Times New Roman" w:eastAsia="仿宋_GB2312" w:cs="Times New Roman"/>
          <w:kern w:val="0"/>
          <w:sz w:val="24"/>
          <w:szCs w:val="24"/>
        </w:rPr>
      </w:pPr>
      <w:r>
        <w:rPr>
          <w:rFonts w:hint="eastAsia" w:ascii="Times New Roman" w:hAnsi="Times New Roman" w:eastAsia="方正小标宋_GBK" w:cs="Times New Roman"/>
          <w:kern w:val="0"/>
          <w:sz w:val="36"/>
          <w:szCs w:val="36"/>
          <w:lang w:eastAsia="zh-CN"/>
        </w:rPr>
        <w:t>202</w:t>
      </w:r>
      <w:r>
        <w:rPr>
          <w:rFonts w:hint="eastAsia" w:ascii="Times New Roman" w:hAnsi="Times New Roman" w:eastAsia="方正小标宋_GBK" w:cs="Times New Roman"/>
          <w:kern w:val="0"/>
          <w:sz w:val="36"/>
          <w:szCs w:val="36"/>
          <w:lang w:val="en-US" w:eastAsia="zh-CN"/>
        </w:rPr>
        <w:t>4</w:t>
      </w:r>
      <w:r>
        <w:rPr>
          <w:rFonts w:hint="eastAsia" w:ascii="Times New Roman" w:hAnsi="Times New Roman" w:eastAsia="方正小标宋_GBK" w:cs="Times New Roman"/>
          <w:kern w:val="0"/>
          <w:sz w:val="36"/>
          <w:szCs w:val="36"/>
          <w:lang w:eastAsia="zh-CN"/>
        </w:rPr>
        <w:t>年</w:t>
      </w:r>
      <w:r>
        <w:rPr>
          <w:rFonts w:hint="default" w:ascii="Times New Roman" w:hAnsi="Times New Roman" w:eastAsia="方正小标宋_GBK" w:cs="Times New Roman"/>
          <w:kern w:val="0"/>
          <w:sz w:val="36"/>
          <w:szCs w:val="36"/>
        </w:rPr>
        <w:t>度部门整体支出绩效评价基础数据表</w:t>
      </w:r>
    </w:p>
    <w:tbl>
      <w:tblPr>
        <w:tblStyle w:val="7"/>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77389043">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66AC57C4">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455E9CF1">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14:paraId="1904A6BB">
            <w:pPr>
              <w:widowControl/>
              <w:jc w:val="center"/>
              <w:rPr>
                <w:rFonts w:hint="default" w:ascii="Times New Roman" w:hAnsi="Times New Roman" w:eastAsia="仿宋_GB2312" w:cs="Times New Roman"/>
                <w:b/>
                <w:bCs/>
                <w:kern w:val="0"/>
              </w:rPr>
            </w:pPr>
            <w:r>
              <w:rPr>
                <w:rFonts w:hint="eastAsia" w:ascii="Times New Roman" w:hAnsi="Times New Roman" w:eastAsia="仿宋_GB2312" w:cs="Times New Roman"/>
                <w:b/>
                <w:bCs/>
                <w:kern w:val="0"/>
                <w:lang w:eastAsia="zh-CN"/>
              </w:rPr>
              <w:t>202</w:t>
            </w:r>
            <w:r>
              <w:rPr>
                <w:rFonts w:hint="eastAsia" w:ascii="Times New Roman" w:hAnsi="Times New Roman" w:eastAsia="仿宋_GB2312" w:cs="Times New Roman"/>
                <w:b/>
                <w:bCs/>
                <w:kern w:val="0"/>
                <w:lang w:val="en-US" w:eastAsia="zh-CN"/>
              </w:rPr>
              <w:t>4</w:t>
            </w:r>
            <w:r>
              <w:rPr>
                <w:rFonts w:hint="eastAsia" w:ascii="Times New Roman" w:hAnsi="Times New Roman" w:eastAsia="仿宋_GB2312" w:cs="Times New Roman"/>
                <w:b/>
                <w:bCs/>
                <w:kern w:val="0"/>
                <w:lang w:eastAsia="zh-CN"/>
              </w:rPr>
              <w:t>年</w:t>
            </w:r>
            <w:r>
              <w:rPr>
                <w:rFonts w:hint="default" w:ascii="Times New Roman" w:hAnsi="Times New Roman" w:eastAsia="仿宋_GB2312" w:cs="Times New Roman"/>
                <w:b/>
                <w:bCs/>
                <w:kern w:val="0"/>
              </w:rPr>
              <w:t>实际在职人数</w:t>
            </w:r>
          </w:p>
        </w:tc>
        <w:tc>
          <w:tcPr>
            <w:tcW w:w="1832" w:type="dxa"/>
            <w:gridSpan w:val="2"/>
            <w:tcBorders>
              <w:top w:val="single" w:color="auto" w:sz="4" w:space="0"/>
              <w:left w:val="nil"/>
              <w:bottom w:val="single" w:color="auto" w:sz="4" w:space="0"/>
              <w:right w:val="single" w:color="auto" w:sz="4" w:space="0"/>
            </w:tcBorders>
            <w:vAlign w:val="center"/>
          </w:tcPr>
          <w:p w14:paraId="37F1AC28">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控制率</w:t>
            </w:r>
          </w:p>
        </w:tc>
      </w:tr>
      <w:tr w14:paraId="66A9794E">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1D4FF7F">
            <w:pPr>
              <w:widowControl/>
              <w:jc w:val="left"/>
              <w:rPr>
                <w:rFonts w:hint="default" w:ascii="Times New Roman" w:hAnsi="Times New Roman" w:eastAsia="仿宋_GB2312" w:cs="Times New Roman"/>
                <w:kern w:val="0"/>
              </w:rPr>
            </w:pPr>
          </w:p>
        </w:tc>
        <w:tc>
          <w:tcPr>
            <w:tcW w:w="2038" w:type="dxa"/>
            <w:gridSpan w:val="2"/>
            <w:tcBorders>
              <w:top w:val="single" w:color="auto" w:sz="4" w:space="0"/>
              <w:left w:val="nil"/>
              <w:bottom w:val="single" w:color="auto" w:sz="4" w:space="0"/>
              <w:right w:val="single" w:color="auto" w:sz="4" w:space="0"/>
            </w:tcBorders>
            <w:vAlign w:val="center"/>
          </w:tcPr>
          <w:p w14:paraId="3E3BCB79">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44</w:t>
            </w:r>
          </w:p>
        </w:tc>
        <w:tc>
          <w:tcPr>
            <w:tcW w:w="2240" w:type="dxa"/>
            <w:gridSpan w:val="2"/>
            <w:tcBorders>
              <w:top w:val="single" w:color="auto" w:sz="4" w:space="0"/>
              <w:left w:val="nil"/>
              <w:bottom w:val="single" w:color="auto" w:sz="4" w:space="0"/>
              <w:right w:val="single" w:color="auto" w:sz="4" w:space="0"/>
            </w:tcBorders>
            <w:vAlign w:val="center"/>
          </w:tcPr>
          <w:p w14:paraId="71C43658">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28</w:t>
            </w:r>
          </w:p>
        </w:tc>
        <w:tc>
          <w:tcPr>
            <w:tcW w:w="1832" w:type="dxa"/>
            <w:gridSpan w:val="2"/>
            <w:tcBorders>
              <w:top w:val="single" w:color="auto" w:sz="4" w:space="0"/>
              <w:left w:val="nil"/>
              <w:bottom w:val="single" w:color="auto" w:sz="4" w:space="0"/>
              <w:right w:val="single" w:color="auto" w:sz="4" w:space="0"/>
            </w:tcBorders>
            <w:vAlign w:val="center"/>
          </w:tcPr>
          <w:p w14:paraId="075A65F2">
            <w:pPr>
              <w:widowControl/>
              <w:jc w:val="center"/>
              <w:rPr>
                <w:rFonts w:hint="default" w:ascii="Times New Roman" w:hAnsi="Times New Roman" w:eastAsia="仿宋_GB2312" w:cs="Times New Roman"/>
                <w:kern w:val="0"/>
                <w:highlight w:val="none"/>
              </w:rPr>
            </w:pPr>
            <w:r>
              <w:rPr>
                <w:rFonts w:hint="eastAsia" w:ascii="Times New Roman" w:hAnsi="Times New Roman" w:eastAsia="仿宋_GB2312" w:cs="Times New Roman"/>
                <w:kern w:val="0"/>
                <w:highlight w:val="none"/>
                <w:lang w:val="en-US" w:eastAsia="zh-CN"/>
              </w:rPr>
              <w:t>63.64</w:t>
            </w:r>
            <w:r>
              <w:rPr>
                <w:rFonts w:hint="default" w:ascii="Times New Roman" w:hAnsi="Times New Roman" w:eastAsia="仿宋_GB2312" w:cs="Times New Roman"/>
                <w:kern w:val="0"/>
                <w:highlight w:val="none"/>
              </w:rPr>
              <w:t>%</w:t>
            </w:r>
          </w:p>
        </w:tc>
      </w:tr>
      <w:tr w14:paraId="5750D9C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95B1A71">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37C4FA03">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20</w:t>
            </w:r>
            <w:r>
              <w:rPr>
                <w:rFonts w:hint="default" w:ascii="Times New Roman" w:hAnsi="Times New Roman" w:eastAsia="仿宋_GB2312" w:cs="Times New Roman"/>
                <w:b/>
                <w:bCs/>
                <w:kern w:val="0"/>
                <w:highlight w:val="none"/>
                <w:lang w:val="en-US" w:eastAsia="zh-CN"/>
              </w:rPr>
              <w:t>2</w:t>
            </w:r>
            <w:r>
              <w:rPr>
                <w:rFonts w:hint="eastAsia" w:ascii="Times New Roman" w:hAnsi="Times New Roman" w:eastAsia="仿宋_GB2312" w:cs="Times New Roman"/>
                <w:b/>
                <w:bCs/>
                <w:kern w:val="0"/>
                <w:highlight w:val="none"/>
                <w:lang w:val="en-US" w:eastAsia="zh-CN"/>
              </w:rPr>
              <w:t>3</w:t>
            </w:r>
            <w:r>
              <w:rPr>
                <w:rFonts w:hint="default" w:ascii="Times New Roman" w:hAnsi="Times New Roman" w:eastAsia="仿宋_GB2312" w:cs="Times New Roman"/>
                <w:b/>
                <w:bCs/>
                <w:kern w:val="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770B40F4">
            <w:pPr>
              <w:widowControl/>
              <w:jc w:val="center"/>
              <w:rPr>
                <w:rFonts w:hint="default" w:ascii="Times New Roman" w:hAnsi="Times New Roman" w:eastAsia="仿宋_GB2312" w:cs="Times New Roman"/>
                <w:b/>
                <w:bCs/>
                <w:kern w:val="0"/>
                <w:highlight w:val="none"/>
              </w:rPr>
            </w:pPr>
            <w:r>
              <w:rPr>
                <w:rFonts w:hint="eastAsia" w:ascii="Times New Roman" w:hAnsi="Times New Roman" w:eastAsia="仿宋_GB2312" w:cs="Times New Roman"/>
                <w:b/>
                <w:bCs/>
                <w:kern w:val="0"/>
                <w:highlight w:val="none"/>
                <w:lang w:eastAsia="zh-CN"/>
              </w:rPr>
              <w:t>202</w:t>
            </w:r>
            <w:r>
              <w:rPr>
                <w:rFonts w:hint="eastAsia" w:ascii="Times New Roman" w:hAnsi="Times New Roman" w:eastAsia="仿宋_GB2312" w:cs="Times New Roman"/>
                <w:b/>
                <w:bCs/>
                <w:kern w:val="0"/>
                <w:highlight w:val="none"/>
                <w:lang w:val="en-US" w:eastAsia="zh-CN"/>
              </w:rPr>
              <w:t>4</w:t>
            </w:r>
            <w:r>
              <w:rPr>
                <w:rFonts w:hint="eastAsia" w:ascii="Times New Roman" w:hAnsi="Times New Roman" w:eastAsia="仿宋_GB2312" w:cs="Times New Roman"/>
                <w:b/>
                <w:bCs/>
                <w:kern w:val="0"/>
                <w:highlight w:val="none"/>
                <w:lang w:eastAsia="zh-CN"/>
              </w:rPr>
              <w:t>年</w:t>
            </w:r>
            <w:r>
              <w:rPr>
                <w:rFonts w:hint="default" w:ascii="Times New Roman" w:hAnsi="Times New Roman" w:eastAsia="仿宋_GB2312" w:cs="Times New Roman"/>
                <w:b/>
                <w:bCs/>
                <w:kern w:val="0"/>
                <w:highlight w:val="none"/>
              </w:rPr>
              <w:t>预算数</w:t>
            </w:r>
          </w:p>
        </w:tc>
        <w:tc>
          <w:tcPr>
            <w:tcW w:w="1832" w:type="dxa"/>
            <w:gridSpan w:val="2"/>
            <w:tcBorders>
              <w:top w:val="single" w:color="auto" w:sz="4" w:space="0"/>
              <w:left w:val="nil"/>
              <w:bottom w:val="single" w:color="auto" w:sz="4" w:space="0"/>
              <w:right w:val="single" w:color="000000" w:sz="4" w:space="0"/>
            </w:tcBorders>
            <w:vAlign w:val="center"/>
          </w:tcPr>
          <w:p w14:paraId="536AC4BF">
            <w:pPr>
              <w:widowControl/>
              <w:jc w:val="center"/>
              <w:rPr>
                <w:rFonts w:hint="default" w:ascii="Times New Roman" w:hAnsi="Times New Roman" w:eastAsia="仿宋_GB2312" w:cs="Times New Roman"/>
                <w:b/>
                <w:bCs/>
                <w:kern w:val="0"/>
                <w:highlight w:val="none"/>
              </w:rPr>
            </w:pPr>
            <w:r>
              <w:rPr>
                <w:rFonts w:hint="eastAsia" w:ascii="Times New Roman" w:hAnsi="Times New Roman" w:eastAsia="仿宋_GB2312" w:cs="Times New Roman"/>
                <w:b/>
                <w:bCs/>
                <w:kern w:val="0"/>
                <w:highlight w:val="none"/>
                <w:lang w:eastAsia="zh-CN"/>
              </w:rPr>
              <w:t>202</w:t>
            </w:r>
            <w:r>
              <w:rPr>
                <w:rFonts w:hint="eastAsia" w:ascii="Times New Roman" w:hAnsi="Times New Roman" w:eastAsia="仿宋_GB2312" w:cs="Times New Roman"/>
                <w:b/>
                <w:bCs/>
                <w:kern w:val="0"/>
                <w:highlight w:val="none"/>
                <w:lang w:val="en-US" w:eastAsia="zh-CN"/>
              </w:rPr>
              <w:t>4</w:t>
            </w:r>
            <w:r>
              <w:rPr>
                <w:rFonts w:hint="eastAsia" w:ascii="Times New Roman" w:hAnsi="Times New Roman" w:eastAsia="仿宋_GB2312" w:cs="Times New Roman"/>
                <w:b/>
                <w:bCs/>
                <w:kern w:val="0"/>
                <w:highlight w:val="none"/>
                <w:lang w:eastAsia="zh-CN"/>
              </w:rPr>
              <w:t>年</w:t>
            </w:r>
            <w:r>
              <w:rPr>
                <w:rFonts w:hint="default" w:ascii="Times New Roman" w:hAnsi="Times New Roman" w:eastAsia="仿宋_GB2312" w:cs="Times New Roman"/>
                <w:b/>
                <w:bCs/>
                <w:kern w:val="0"/>
                <w:highlight w:val="none"/>
              </w:rPr>
              <w:t>决算数</w:t>
            </w:r>
          </w:p>
        </w:tc>
      </w:tr>
      <w:tr w14:paraId="5D923B0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EACAEA8">
            <w:pPr>
              <w:widowControl/>
              <w:jc w:val="left"/>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三公经费</w:t>
            </w:r>
            <w:r>
              <w:rPr>
                <w:rFonts w:hint="eastAsia" w:ascii="Times New Roman" w:hAnsi="Times New Roman" w:eastAsia="仿宋_GB2312" w:cs="Times New Roman"/>
                <w:kern w:val="0"/>
                <w:lang w:eastAsia="zh-CN"/>
              </w:rPr>
              <w:t>：</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7B21BC9">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12.12</w:t>
            </w:r>
          </w:p>
        </w:tc>
        <w:tc>
          <w:tcPr>
            <w:tcW w:w="2240" w:type="dxa"/>
            <w:gridSpan w:val="2"/>
            <w:tcBorders>
              <w:top w:val="single" w:color="auto" w:sz="4" w:space="0"/>
              <w:left w:val="nil"/>
              <w:bottom w:val="single" w:color="auto" w:sz="4" w:space="0"/>
              <w:right w:val="single" w:color="000000" w:sz="4" w:space="0"/>
            </w:tcBorders>
            <w:vAlign w:val="center"/>
          </w:tcPr>
          <w:p w14:paraId="60506200">
            <w:pPr>
              <w:widowControl/>
              <w:jc w:val="center"/>
              <w:rPr>
                <w:rFonts w:hint="default" w:ascii="Times New Roman" w:hAnsi="Times New Roman" w:eastAsia="仿宋_GB2312" w:cs="Times New Roman"/>
                <w:kern w:val="0"/>
                <w:sz w:val="21"/>
                <w:szCs w:val="21"/>
                <w:highlight w:val="yellow"/>
                <w:lang w:val="en-US" w:eastAsia="zh-CN" w:bidi="ar-SA"/>
              </w:rPr>
            </w:pPr>
            <w:r>
              <w:rPr>
                <w:rFonts w:hint="eastAsia" w:ascii="Times New Roman" w:hAnsi="Times New Roman" w:eastAsia="仿宋_GB2312" w:cs="Times New Roman"/>
                <w:kern w:val="0"/>
                <w:sz w:val="21"/>
                <w:szCs w:val="21"/>
                <w:highlight w:val="none"/>
                <w:lang w:val="en-US" w:eastAsia="zh-CN" w:bidi="ar-SA"/>
              </w:rPr>
              <w:t>67</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14:paraId="790095B9">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37.86</w:t>
            </w:r>
          </w:p>
        </w:tc>
      </w:tr>
      <w:tr w14:paraId="29A7B61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2DD853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7D4018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10.73</w:t>
            </w:r>
          </w:p>
        </w:tc>
        <w:tc>
          <w:tcPr>
            <w:tcW w:w="2240" w:type="dxa"/>
            <w:gridSpan w:val="2"/>
            <w:tcBorders>
              <w:top w:val="single" w:color="auto" w:sz="4" w:space="0"/>
              <w:left w:val="nil"/>
              <w:bottom w:val="single" w:color="auto" w:sz="4" w:space="0"/>
              <w:right w:val="single" w:color="000000" w:sz="4" w:space="0"/>
            </w:tcBorders>
            <w:vAlign w:val="center"/>
          </w:tcPr>
          <w:p w14:paraId="02670214">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22</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14:paraId="3FF02992">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8.39</w:t>
            </w:r>
          </w:p>
        </w:tc>
      </w:tr>
      <w:tr w14:paraId="3521D21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B544B94">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64BC0966">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0.00</w:t>
            </w:r>
          </w:p>
        </w:tc>
        <w:tc>
          <w:tcPr>
            <w:tcW w:w="2240" w:type="dxa"/>
            <w:gridSpan w:val="2"/>
            <w:tcBorders>
              <w:top w:val="single" w:color="auto" w:sz="4" w:space="0"/>
              <w:left w:val="nil"/>
              <w:bottom w:val="single" w:color="auto" w:sz="4" w:space="0"/>
              <w:right w:val="single" w:color="000000" w:sz="4" w:space="0"/>
            </w:tcBorders>
            <w:vAlign w:val="center"/>
          </w:tcPr>
          <w:p w14:paraId="6B8BF9C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14:paraId="54B01076">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0.00</w:t>
            </w:r>
          </w:p>
        </w:tc>
      </w:tr>
      <w:tr w14:paraId="6ADD1DC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B762DDC">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39C4EDB">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10.73</w:t>
            </w:r>
          </w:p>
        </w:tc>
        <w:tc>
          <w:tcPr>
            <w:tcW w:w="2240" w:type="dxa"/>
            <w:gridSpan w:val="2"/>
            <w:tcBorders>
              <w:top w:val="single" w:color="auto" w:sz="4" w:space="0"/>
              <w:left w:val="nil"/>
              <w:bottom w:val="single" w:color="auto" w:sz="4" w:space="0"/>
              <w:right w:val="single" w:color="000000" w:sz="4" w:space="0"/>
            </w:tcBorders>
            <w:vAlign w:val="center"/>
          </w:tcPr>
          <w:p w14:paraId="7C86DAC9">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22.00</w:t>
            </w:r>
          </w:p>
        </w:tc>
        <w:tc>
          <w:tcPr>
            <w:tcW w:w="1832" w:type="dxa"/>
            <w:gridSpan w:val="2"/>
            <w:tcBorders>
              <w:top w:val="single" w:color="auto" w:sz="4" w:space="0"/>
              <w:left w:val="nil"/>
              <w:bottom w:val="single" w:color="auto" w:sz="4" w:space="0"/>
              <w:right w:val="single" w:color="000000" w:sz="4" w:space="0"/>
            </w:tcBorders>
            <w:vAlign w:val="center"/>
          </w:tcPr>
          <w:p w14:paraId="039C0305">
            <w:pPr>
              <w:widowControl/>
              <w:jc w:val="center"/>
              <w:rPr>
                <w:rFonts w:hint="default" w:ascii="Times New Roman" w:hAnsi="Times New Roman" w:eastAsia="仿宋_GB2312" w:cs="Times New Roman"/>
                <w:kern w:val="0"/>
                <w:sz w:val="21"/>
                <w:szCs w:val="21"/>
                <w:highlight w:val="yellow"/>
                <w:lang w:val="en-US" w:eastAsia="zh-CN" w:bidi="ar-SA"/>
              </w:rPr>
            </w:pPr>
            <w:r>
              <w:rPr>
                <w:rFonts w:hint="eastAsia" w:ascii="Times New Roman" w:hAnsi="Times New Roman" w:eastAsia="仿宋_GB2312" w:cs="Times New Roman"/>
                <w:kern w:val="0"/>
                <w:sz w:val="21"/>
                <w:szCs w:val="21"/>
                <w:highlight w:val="none"/>
                <w:lang w:val="en-US" w:eastAsia="zh-CN" w:bidi="ar-SA"/>
              </w:rPr>
              <w:t>8.39</w:t>
            </w:r>
          </w:p>
        </w:tc>
      </w:tr>
      <w:tr w14:paraId="30C2405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2FB78C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60492592">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14:paraId="549A96AD">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14:paraId="0F1EF667">
            <w:pPr>
              <w:widowControl/>
              <w:jc w:val="center"/>
              <w:rPr>
                <w:rFonts w:hint="default" w:ascii="Times New Roman" w:hAnsi="Times New Roman" w:eastAsia="仿宋_GB2312" w:cs="Times New Roman"/>
                <w:kern w:val="0"/>
                <w:sz w:val="21"/>
                <w:szCs w:val="21"/>
                <w:highlight w:val="yellow"/>
                <w:lang w:val="en-US" w:eastAsia="zh-CN" w:bidi="ar-SA"/>
              </w:rPr>
            </w:pPr>
            <w:r>
              <w:rPr>
                <w:rFonts w:hint="eastAsia" w:ascii="Times New Roman" w:hAnsi="Times New Roman" w:eastAsia="仿宋_GB2312" w:cs="Times New Roman"/>
                <w:kern w:val="0"/>
                <w:highlight w:val="none"/>
                <w:lang w:val="en-US" w:eastAsia="zh-CN"/>
              </w:rPr>
              <w:t>28.77</w:t>
            </w:r>
          </w:p>
        </w:tc>
      </w:tr>
      <w:tr w14:paraId="5D93DA6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D5D673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366F344D">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1.39</w:t>
            </w:r>
          </w:p>
        </w:tc>
        <w:tc>
          <w:tcPr>
            <w:tcW w:w="2240" w:type="dxa"/>
            <w:gridSpan w:val="2"/>
            <w:tcBorders>
              <w:top w:val="single" w:color="auto" w:sz="4" w:space="0"/>
              <w:left w:val="nil"/>
              <w:bottom w:val="single" w:color="auto" w:sz="4" w:space="0"/>
              <w:right w:val="single" w:color="000000" w:sz="4" w:space="0"/>
            </w:tcBorders>
            <w:vAlign w:val="center"/>
          </w:tcPr>
          <w:p w14:paraId="41B15C94">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w:t>
            </w:r>
            <w:r>
              <w:rPr>
                <w:rFonts w:hint="default" w:ascii="Times New Roman" w:hAnsi="Times New Roman" w:eastAsia="仿宋_GB2312" w:cs="Times New Roman"/>
                <w:kern w:val="0"/>
                <w:sz w:val="21"/>
                <w:szCs w:val="21"/>
                <w:highlight w:val="none"/>
                <w:lang w:val="en-US" w:eastAsia="zh-CN" w:bidi="ar-SA"/>
              </w:rPr>
              <w:t>.00</w:t>
            </w:r>
          </w:p>
        </w:tc>
        <w:tc>
          <w:tcPr>
            <w:tcW w:w="1832" w:type="dxa"/>
            <w:gridSpan w:val="2"/>
            <w:tcBorders>
              <w:top w:val="single" w:color="auto" w:sz="4" w:space="0"/>
              <w:left w:val="nil"/>
              <w:bottom w:val="single" w:color="auto" w:sz="4" w:space="0"/>
              <w:right w:val="single" w:color="000000" w:sz="4" w:space="0"/>
            </w:tcBorders>
            <w:vAlign w:val="center"/>
          </w:tcPr>
          <w:p w14:paraId="5C76FAB7">
            <w:pPr>
              <w:widowControl/>
              <w:jc w:val="center"/>
              <w:rPr>
                <w:rFonts w:hint="default" w:ascii="Times New Roman" w:hAnsi="Times New Roman" w:eastAsia="仿宋_GB2312" w:cs="Times New Roman"/>
                <w:kern w:val="0"/>
                <w:sz w:val="21"/>
                <w:szCs w:val="21"/>
                <w:highlight w:val="yellow"/>
                <w:lang w:val="en-US" w:eastAsia="zh-CN" w:bidi="ar-SA"/>
              </w:rPr>
            </w:pPr>
            <w:r>
              <w:rPr>
                <w:rFonts w:hint="eastAsia" w:ascii="Times New Roman" w:hAnsi="Times New Roman" w:eastAsia="仿宋_GB2312" w:cs="Times New Roman"/>
                <w:kern w:val="0"/>
                <w:highlight w:val="none"/>
                <w:lang w:val="en-US" w:eastAsia="zh-CN"/>
              </w:rPr>
              <w:t>0.70</w:t>
            </w:r>
          </w:p>
        </w:tc>
      </w:tr>
      <w:tr w14:paraId="2370FB7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B889AE2">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F5B005C">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1,907.88</w:t>
            </w:r>
          </w:p>
        </w:tc>
        <w:tc>
          <w:tcPr>
            <w:tcW w:w="2240" w:type="dxa"/>
            <w:gridSpan w:val="2"/>
            <w:tcBorders>
              <w:top w:val="single" w:color="auto" w:sz="4" w:space="0"/>
              <w:left w:val="nil"/>
              <w:bottom w:val="single" w:color="auto" w:sz="4" w:space="0"/>
              <w:right w:val="single" w:color="000000" w:sz="4" w:space="0"/>
            </w:tcBorders>
            <w:vAlign w:val="center"/>
          </w:tcPr>
          <w:p w14:paraId="12103058">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1,921.06</w:t>
            </w:r>
          </w:p>
        </w:tc>
        <w:tc>
          <w:tcPr>
            <w:tcW w:w="1832" w:type="dxa"/>
            <w:gridSpan w:val="2"/>
            <w:tcBorders>
              <w:top w:val="single" w:color="auto" w:sz="4" w:space="0"/>
              <w:left w:val="nil"/>
              <w:bottom w:val="single" w:color="auto" w:sz="4" w:space="0"/>
              <w:right w:val="single" w:color="000000" w:sz="4" w:space="0"/>
            </w:tcBorders>
            <w:vAlign w:val="center"/>
          </w:tcPr>
          <w:p w14:paraId="270A212A">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1,185.49</w:t>
            </w:r>
          </w:p>
        </w:tc>
      </w:tr>
      <w:tr w14:paraId="0C50DB4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66B2515">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4466CDF3">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186</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99</w:t>
            </w:r>
          </w:p>
        </w:tc>
        <w:tc>
          <w:tcPr>
            <w:tcW w:w="2240" w:type="dxa"/>
            <w:gridSpan w:val="2"/>
            <w:tcBorders>
              <w:top w:val="single" w:color="auto" w:sz="4" w:space="0"/>
              <w:left w:val="nil"/>
              <w:bottom w:val="single" w:color="auto" w:sz="4" w:space="0"/>
              <w:right w:val="single" w:color="000000" w:sz="4" w:space="0"/>
            </w:tcBorders>
            <w:vAlign w:val="center"/>
          </w:tcPr>
          <w:p w14:paraId="69322A1B">
            <w:pPr>
              <w:widowControl/>
              <w:jc w:val="center"/>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240</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99</w:t>
            </w:r>
          </w:p>
        </w:tc>
        <w:tc>
          <w:tcPr>
            <w:tcW w:w="1832" w:type="dxa"/>
            <w:gridSpan w:val="2"/>
            <w:tcBorders>
              <w:top w:val="single" w:color="auto" w:sz="4" w:space="0"/>
              <w:left w:val="nil"/>
              <w:bottom w:val="single" w:color="auto" w:sz="4" w:space="0"/>
              <w:right w:val="single" w:color="000000" w:sz="4" w:space="0"/>
            </w:tcBorders>
            <w:vAlign w:val="center"/>
          </w:tcPr>
          <w:p w14:paraId="189FDB6F">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184</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49</w:t>
            </w:r>
          </w:p>
        </w:tc>
      </w:tr>
      <w:tr w14:paraId="2B6826A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71DD11E">
            <w:pPr>
              <w:widowControl/>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 xml:space="preserve">    2、</w:t>
            </w:r>
            <w:r>
              <w:rPr>
                <w:rFonts w:hint="eastAsia" w:ascii="Times New Roman" w:hAnsi="Times New Roman" w:eastAsia="仿宋_GB2312" w:cs="Times New Roman"/>
                <w:kern w:val="0"/>
                <w:lang w:val="en-US" w:eastAsia="zh-CN"/>
              </w:rPr>
              <w:t>其他</w:t>
            </w:r>
            <w:r>
              <w:rPr>
                <w:rFonts w:hint="default" w:ascii="Times New Roman" w:hAnsi="Times New Roman" w:eastAsia="仿宋_GB2312" w:cs="Times New Roman"/>
                <w:kern w:val="0"/>
                <w:lang w:val="en-US" w:eastAsia="zh-CN"/>
              </w:rPr>
              <w:t>事业发展资金</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297CEC9E">
            <w:pPr>
              <w:widowControl/>
              <w:jc w:val="center"/>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highlight w:val="none"/>
                <w:lang w:val="en-US" w:eastAsia="zh-CN"/>
              </w:rPr>
              <w:t>143.12</w:t>
            </w:r>
          </w:p>
        </w:tc>
        <w:tc>
          <w:tcPr>
            <w:tcW w:w="2240" w:type="dxa"/>
            <w:gridSpan w:val="2"/>
            <w:tcBorders>
              <w:top w:val="single" w:color="auto" w:sz="4" w:space="0"/>
              <w:left w:val="nil"/>
              <w:bottom w:val="single" w:color="auto" w:sz="4" w:space="0"/>
              <w:right w:val="single" w:color="000000" w:sz="4" w:space="0"/>
            </w:tcBorders>
            <w:vAlign w:val="center"/>
          </w:tcPr>
          <w:p w14:paraId="67F3BAD0">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214.26</w:t>
            </w:r>
          </w:p>
        </w:tc>
        <w:tc>
          <w:tcPr>
            <w:tcW w:w="1832" w:type="dxa"/>
            <w:gridSpan w:val="2"/>
            <w:tcBorders>
              <w:top w:val="single" w:color="auto" w:sz="4" w:space="0"/>
              <w:left w:val="nil"/>
              <w:bottom w:val="single" w:color="auto" w:sz="4" w:space="0"/>
              <w:right w:val="single" w:color="000000" w:sz="4" w:space="0"/>
            </w:tcBorders>
            <w:vAlign w:val="center"/>
          </w:tcPr>
          <w:p w14:paraId="3DA3BADA">
            <w:pPr>
              <w:widowControl/>
              <w:jc w:val="center"/>
              <w:rPr>
                <w:rFonts w:hint="default" w:ascii="Times New Roman" w:hAnsi="Times New Roman" w:eastAsia="仿宋_GB2312" w:cs="Times New Roman"/>
                <w:color w:val="000000"/>
                <w:kern w:val="0"/>
                <w:highlight w:val="none"/>
                <w:lang w:val="en-US" w:eastAsia="zh-CN"/>
              </w:rPr>
            </w:pPr>
            <w:r>
              <w:rPr>
                <w:rFonts w:hint="eastAsia" w:ascii="Times New Roman" w:hAnsi="Times New Roman" w:eastAsia="仿宋_GB2312" w:cs="Times New Roman"/>
                <w:color w:val="000000"/>
                <w:kern w:val="0"/>
                <w:highlight w:val="none"/>
                <w:lang w:val="en-US" w:eastAsia="zh-CN"/>
              </w:rPr>
              <w:t>114.60</w:t>
            </w:r>
          </w:p>
        </w:tc>
      </w:tr>
      <w:tr w14:paraId="5A54796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09727F3">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lang w:val="en-US" w:eastAsia="zh-CN"/>
              </w:rPr>
              <w:t xml:space="preserve">    </w:t>
            </w:r>
            <w:r>
              <w:rPr>
                <w:rFonts w:hint="eastAsia" w:ascii="Times New Roman" w:hAnsi="Times New Roman" w:eastAsia="仿宋_GB2312" w:cs="Times New Roman"/>
                <w:kern w:val="0"/>
                <w:lang w:val="en-US" w:eastAsia="zh-CN"/>
              </w:rPr>
              <w:t>3</w:t>
            </w:r>
            <w:r>
              <w:rPr>
                <w:rFonts w:hint="default" w:ascii="Times New Roman" w:hAnsi="Times New Roman" w:eastAsia="仿宋_GB2312" w:cs="Times New Roman"/>
                <w:kern w:val="0"/>
                <w:lang w:val="en-US" w:eastAsia="zh-CN"/>
              </w:rPr>
              <w:t>、长株潭一体化发展资金</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FC51F09">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bidi="ar-SA"/>
              </w:rPr>
              <w:t>1,577.77</w:t>
            </w:r>
          </w:p>
        </w:tc>
        <w:tc>
          <w:tcPr>
            <w:tcW w:w="2240" w:type="dxa"/>
            <w:gridSpan w:val="2"/>
            <w:tcBorders>
              <w:top w:val="single" w:color="auto" w:sz="4" w:space="0"/>
              <w:left w:val="nil"/>
              <w:bottom w:val="single" w:color="auto" w:sz="4" w:space="0"/>
              <w:right w:val="single" w:color="000000" w:sz="4" w:space="0"/>
            </w:tcBorders>
            <w:vAlign w:val="center"/>
          </w:tcPr>
          <w:p w14:paraId="06C63327">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1,465.81</w:t>
            </w:r>
          </w:p>
        </w:tc>
        <w:tc>
          <w:tcPr>
            <w:tcW w:w="1832" w:type="dxa"/>
            <w:gridSpan w:val="2"/>
            <w:tcBorders>
              <w:top w:val="single" w:color="auto" w:sz="4" w:space="0"/>
              <w:left w:val="nil"/>
              <w:bottom w:val="single" w:color="auto" w:sz="4" w:space="0"/>
              <w:right w:val="single" w:color="000000" w:sz="4" w:space="0"/>
            </w:tcBorders>
            <w:vAlign w:val="center"/>
          </w:tcPr>
          <w:p w14:paraId="0317EC88">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bidi="ar-SA"/>
              </w:rPr>
              <w:t>886.40</w:t>
            </w:r>
          </w:p>
        </w:tc>
      </w:tr>
      <w:tr w14:paraId="194A248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80ECA6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1146816E">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147</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58</w:t>
            </w:r>
          </w:p>
        </w:tc>
        <w:tc>
          <w:tcPr>
            <w:tcW w:w="2240" w:type="dxa"/>
            <w:gridSpan w:val="2"/>
            <w:tcBorders>
              <w:top w:val="single" w:color="auto" w:sz="4" w:space="0"/>
              <w:left w:val="nil"/>
              <w:bottom w:val="single" w:color="auto" w:sz="4" w:space="0"/>
              <w:right w:val="single" w:color="000000" w:sz="4" w:space="0"/>
            </w:tcBorders>
            <w:vAlign w:val="center"/>
          </w:tcPr>
          <w:p w14:paraId="4F603982">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lang w:val="en-US" w:eastAsia="zh-CN"/>
              </w:rPr>
              <w:t>184</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lang w:val="en-US" w:eastAsia="zh-CN"/>
              </w:rPr>
              <w:t>83</w:t>
            </w:r>
          </w:p>
        </w:tc>
        <w:tc>
          <w:tcPr>
            <w:tcW w:w="1832" w:type="dxa"/>
            <w:gridSpan w:val="2"/>
            <w:tcBorders>
              <w:top w:val="single" w:color="auto" w:sz="4" w:space="0"/>
              <w:left w:val="nil"/>
              <w:bottom w:val="single" w:color="auto" w:sz="4" w:space="0"/>
              <w:right w:val="single" w:color="000000" w:sz="4" w:space="0"/>
            </w:tcBorders>
            <w:vAlign w:val="center"/>
          </w:tcPr>
          <w:p w14:paraId="6B9231C2">
            <w:pPr>
              <w:widowControl/>
              <w:jc w:val="center"/>
              <w:rPr>
                <w:rFonts w:hint="default" w:ascii="Times New Roman" w:hAnsi="Times New Roman" w:eastAsia="仿宋_GB2312" w:cs="Times New Roman"/>
                <w:kern w:val="0"/>
                <w:highlight w:val="none"/>
                <w:lang w:val="en-US"/>
              </w:rPr>
            </w:pPr>
            <w:r>
              <w:rPr>
                <w:rFonts w:hint="eastAsia" w:ascii="Times New Roman" w:hAnsi="Times New Roman" w:eastAsia="仿宋_GB2312" w:cs="Times New Roman"/>
                <w:color w:val="000000"/>
                <w:kern w:val="0"/>
                <w:highlight w:val="none"/>
                <w:lang w:val="en-US" w:eastAsia="zh-CN"/>
              </w:rPr>
              <w:t>159.60</w:t>
            </w:r>
          </w:p>
        </w:tc>
      </w:tr>
      <w:tr w14:paraId="1CEB969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1EC098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FB06BAF">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105.10</w:t>
            </w:r>
          </w:p>
        </w:tc>
        <w:tc>
          <w:tcPr>
            <w:tcW w:w="2240" w:type="dxa"/>
            <w:gridSpan w:val="2"/>
            <w:tcBorders>
              <w:top w:val="single" w:color="auto" w:sz="4" w:space="0"/>
              <w:left w:val="nil"/>
              <w:bottom w:val="single" w:color="auto" w:sz="4" w:space="0"/>
              <w:right w:val="single" w:color="000000" w:sz="4" w:space="0"/>
            </w:tcBorders>
            <w:vAlign w:val="center"/>
          </w:tcPr>
          <w:p w14:paraId="3A55212F">
            <w:pPr>
              <w:widowControl/>
              <w:jc w:val="center"/>
              <w:rPr>
                <w:rFonts w:hint="default" w:ascii="Times New Roman" w:hAnsi="Times New Roman" w:eastAsia="仿宋_GB2312" w:cs="Times New Roman"/>
                <w:kern w:val="0"/>
                <w:highlight w:val="yellow"/>
                <w:lang w:val="en-US" w:eastAsia="zh-CN"/>
              </w:rPr>
            </w:pPr>
            <w:r>
              <w:rPr>
                <w:rFonts w:hint="eastAsia" w:ascii="Times New Roman" w:hAnsi="Times New Roman" w:eastAsia="仿宋_GB2312" w:cs="Times New Roman"/>
                <w:kern w:val="0"/>
                <w:highlight w:val="none"/>
                <w:lang w:val="en-US" w:eastAsia="zh-CN"/>
              </w:rPr>
              <w:t>169.19</w:t>
            </w:r>
          </w:p>
        </w:tc>
        <w:tc>
          <w:tcPr>
            <w:tcW w:w="1832" w:type="dxa"/>
            <w:gridSpan w:val="2"/>
            <w:tcBorders>
              <w:top w:val="single" w:color="auto" w:sz="4" w:space="0"/>
              <w:left w:val="nil"/>
              <w:bottom w:val="single" w:color="auto" w:sz="4" w:space="0"/>
              <w:right w:val="single" w:color="000000" w:sz="4" w:space="0"/>
            </w:tcBorders>
            <w:vAlign w:val="center"/>
          </w:tcPr>
          <w:p w14:paraId="1613F913">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145.80</w:t>
            </w:r>
          </w:p>
        </w:tc>
      </w:tr>
      <w:tr w14:paraId="06AC107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2C560EC">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57EC4D4">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7.29</w:t>
            </w:r>
          </w:p>
        </w:tc>
        <w:tc>
          <w:tcPr>
            <w:tcW w:w="2240" w:type="dxa"/>
            <w:gridSpan w:val="2"/>
            <w:tcBorders>
              <w:top w:val="single" w:color="auto" w:sz="4" w:space="0"/>
              <w:left w:val="nil"/>
              <w:bottom w:val="single" w:color="auto" w:sz="4" w:space="0"/>
              <w:right w:val="single" w:color="000000" w:sz="4" w:space="0"/>
            </w:tcBorders>
            <w:vAlign w:val="center"/>
          </w:tcPr>
          <w:p w14:paraId="6C4858F0">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12.40</w:t>
            </w:r>
          </w:p>
        </w:tc>
        <w:tc>
          <w:tcPr>
            <w:tcW w:w="1832" w:type="dxa"/>
            <w:gridSpan w:val="2"/>
            <w:tcBorders>
              <w:top w:val="single" w:color="auto" w:sz="4" w:space="0"/>
              <w:left w:val="nil"/>
              <w:bottom w:val="single" w:color="auto" w:sz="4" w:space="0"/>
              <w:right w:val="single" w:color="000000" w:sz="4" w:space="0"/>
            </w:tcBorders>
            <w:vAlign w:val="center"/>
          </w:tcPr>
          <w:p w14:paraId="0DF43638">
            <w:pPr>
              <w:widowControl/>
              <w:jc w:val="center"/>
              <w:rPr>
                <w:rFonts w:hint="default" w:ascii="Times New Roman" w:hAnsi="Times New Roman" w:eastAsia="仿宋_GB2312" w:cs="Times New Roman"/>
                <w:kern w:val="0"/>
                <w:highlight w:val="none"/>
                <w:lang w:val="en-US" w:eastAsia="zh-CN"/>
              </w:rPr>
            </w:pPr>
            <w:r>
              <w:rPr>
                <w:rFonts w:hint="eastAsia" w:ascii="Times New Roman" w:hAnsi="Times New Roman" w:eastAsia="仿宋_GB2312" w:cs="Times New Roman"/>
                <w:kern w:val="0"/>
                <w:highlight w:val="none"/>
                <w:lang w:val="en-US" w:eastAsia="zh-CN"/>
              </w:rPr>
              <w:t>12.40</w:t>
            </w:r>
          </w:p>
        </w:tc>
      </w:tr>
      <w:tr w14:paraId="3BCFF02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23EAFE8">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BC81F26">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highlight w:val="none"/>
                <w:lang w:val="en-US" w:eastAsia="zh-CN"/>
              </w:rPr>
              <w:t>1.75</w:t>
            </w:r>
          </w:p>
        </w:tc>
        <w:tc>
          <w:tcPr>
            <w:tcW w:w="2240" w:type="dxa"/>
            <w:gridSpan w:val="2"/>
            <w:tcBorders>
              <w:top w:val="single" w:color="auto" w:sz="4" w:space="0"/>
              <w:left w:val="nil"/>
              <w:bottom w:val="single" w:color="auto" w:sz="4" w:space="0"/>
              <w:right w:val="single" w:color="000000" w:sz="4" w:space="0"/>
            </w:tcBorders>
            <w:vAlign w:val="center"/>
          </w:tcPr>
          <w:p w14:paraId="659BFC07">
            <w:pPr>
              <w:widowControl/>
              <w:jc w:val="center"/>
              <w:rPr>
                <w:rFonts w:hint="default" w:ascii="Times New Roman" w:hAnsi="Times New Roman" w:eastAsia="仿宋_GB2312" w:cs="Times New Roman"/>
                <w:kern w:val="0"/>
                <w:highlight w:val="yellow"/>
                <w:lang w:val="en-US" w:eastAsia="zh-CN"/>
              </w:rPr>
            </w:pPr>
            <w:r>
              <w:rPr>
                <w:rFonts w:hint="eastAsia" w:ascii="Times New Roman" w:hAnsi="Times New Roman" w:eastAsia="仿宋_GB2312" w:cs="Times New Roman"/>
                <w:kern w:val="0"/>
                <w:highlight w:val="none"/>
                <w:lang w:val="en-US" w:eastAsia="zh-CN"/>
              </w:rPr>
              <w:t>3.24</w:t>
            </w:r>
          </w:p>
        </w:tc>
        <w:tc>
          <w:tcPr>
            <w:tcW w:w="1832" w:type="dxa"/>
            <w:gridSpan w:val="2"/>
            <w:tcBorders>
              <w:top w:val="single" w:color="auto" w:sz="4" w:space="0"/>
              <w:left w:val="nil"/>
              <w:bottom w:val="single" w:color="auto" w:sz="4" w:space="0"/>
              <w:right w:val="single" w:color="000000" w:sz="4" w:space="0"/>
            </w:tcBorders>
            <w:vAlign w:val="center"/>
          </w:tcPr>
          <w:p w14:paraId="34A04EC1">
            <w:pPr>
              <w:widowControl/>
              <w:jc w:val="center"/>
              <w:rPr>
                <w:rFonts w:hint="default" w:ascii="Times New Roman" w:hAnsi="Times New Roman" w:eastAsia="仿宋_GB2312" w:cs="Times New Roman"/>
                <w:kern w:val="0"/>
                <w:highlight w:val="yellow"/>
                <w:lang w:val="en-US" w:eastAsia="zh-CN"/>
              </w:rPr>
            </w:pPr>
            <w:r>
              <w:rPr>
                <w:rFonts w:hint="eastAsia" w:ascii="Times New Roman" w:hAnsi="Times New Roman" w:eastAsia="仿宋_GB2312" w:cs="Times New Roman"/>
                <w:kern w:val="0"/>
                <w:highlight w:val="none"/>
                <w:lang w:val="en-US" w:eastAsia="zh-CN"/>
              </w:rPr>
              <w:t>1.40</w:t>
            </w:r>
          </w:p>
        </w:tc>
      </w:tr>
      <w:tr w14:paraId="7FC2D7C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D492AE3">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7EAF7A07">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549</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4</w:t>
            </w:r>
            <w:r>
              <w:rPr>
                <w:rFonts w:hint="eastAsia" w:ascii="Times New Roman" w:hAnsi="Times New Roman" w:eastAsia="仿宋_GB2312" w:cs="Times New Roman"/>
                <w:kern w:val="0"/>
                <w:highlight w:val="none"/>
                <w:lang w:val="en-US" w:eastAsia="zh-CN"/>
              </w:rPr>
              <w:t>7</w:t>
            </w:r>
          </w:p>
        </w:tc>
        <w:tc>
          <w:tcPr>
            <w:tcW w:w="2240" w:type="dxa"/>
            <w:gridSpan w:val="2"/>
            <w:tcBorders>
              <w:top w:val="single" w:color="auto" w:sz="4" w:space="0"/>
              <w:left w:val="nil"/>
              <w:bottom w:val="single" w:color="auto" w:sz="4" w:space="0"/>
              <w:right w:val="single" w:color="000000" w:sz="4" w:space="0"/>
            </w:tcBorders>
            <w:vAlign w:val="center"/>
          </w:tcPr>
          <w:p w14:paraId="08B0BE2D">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147</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60</w:t>
            </w:r>
          </w:p>
        </w:tc>
        <w:tc>
          <w:tcPr>
            <w:tcW w:w="1832" w:type="dxa"/>
            <w:gridSpan w:val="2"/>
            <w:tcBorders>
              <w:top w:val="single" w:color="auto" w:sz="4" w:space="0"/>
              <w:left w:val="nil"/>
              <w:bottom w:val="single" w:color="auto" w:sz="4" w:space="0"/>
              <w:right w:val="single" w:color="000000" w:sz="4" w:space="0"/>
            </w:tcBorders>
            <w:vAlign w:val="center"/>
          </w:tcPr>
          <w:p w14:paraId="2C491437">
            <w:pPr>
              <w:widowControl/>
              <w:jc w:val="center"/>
              <w:rPr>
                <w:rFonts w:hint="eastAsia"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147</w:t>
            </w:r>
            <w:r>
              <w:rPr>
                <w:rFonts w:hint="eastAsia"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60</w:t>
            </w:r>
          </w:p>
        </w:tc>
      </w:tr>
      <w:tr w14:paraId="107D062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37EC973">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14:paraId="5EEB008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14:paraId="423D3163">
            <w:pPr>
              <w:widowControl/>
              <w:jc w:val="center"/>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1</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233</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74</w:t>
            </w:r>
          </w:p>
        </w:tc>
        <w:tc>
          <w:tcPr>
            <w:tcW w:w="1832" w:type="dxa"/>
            <w:gridSpan w:val="2"/>
            <w:tcBorders>
              <w:top w:val="single" w:color="auto" w:sz="4" w:space="0"/>
              <w:left w:val="nil"/>
              <w:bottom w:val="single" w:color="auto" w:sz="4" w:space="0"/>
              <w:right w:val="single" w:color="000000" w:sz="4" w:space="0"/>
            </w:tcBorders>
            <w:vAlign w:val="center"/>
          </w:tcPr>
          <w:p w14:paraId="6847408C">
            <w:pPr>
              <w:widowControl/>
              <w:jc w:val="center"/>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1</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163</w:t>
            </w:r>
            <w:r>
              <w:rPr>
                <w:rFonts w:hint="eastAsia" w:ascii="Times New Roman" w:hAnsi="Times New Roman" w:eastAsia="仿宋_GB2312" w:cs="Times New Roman"/>
                <w:color w:val="000000"/>
                <w:kern w:val="0"/>
                <w:highlight w:val="none"/>
                <w:lang w:val="en-US" w:eastAsia="zh-CN"/>
              </w:rPr>
              <w:t>.</w:t>
            </w:r>
            <w:r>
              <w:rPr>
                <w:rFonts w:hint="default" w:ascii="Times New Roman" w:hAnsi="Times New Roman" w:eastAsia="仿宋_GB2312" w:cs="Times New Roman"/>
                <w:color w:val="000000"/>
                <w:kern w:val="0"/>
                <w:highlight w:val="none"/>
                <w:lang w:val="en-US" w:eastAsia="zh-CN"/>
              </w:rPr>
              <w:t>26</w:t>
            </w:r>
          </w:p>
        </w:tc>
      </w:tr>
      <w:tr w14:paraId="7D534173">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64D5EB4C">
            <w:pPr>
              <w:widowControl/>
              <w:jc w:val="center"/>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楼堂馆所控制情况</w:t>
            </w:r>
          </w:p>
          <w:p w14:paraId="78B439B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eastAsia" w:ascii="Times New Roman" w:hAnsi="Times New Roman" w:eastAsia="仿宋_GB2312" w:cs="Times New Roman"/>
                <w:kern w:val="0"/>
                <w:lang w:eastAsia="zh-CN"/>
              </w:rPr>
              <w:t>2023年</w:t>
            </w:r>
            <w:r>
              <w:rPr>
                <w:rFonts w:hint="default" w:ascii="Times New Roman" w:hAnsi="Times New Roman" w:eastAsia="仿宋_GB2312" w:cs="Times New Roman"/>
                <w:kern w:val="0"/>
              </w:rPr>
              <w:t>完工项目）</w:t>
            </w:r>
          </w:p>
        </w:tc>
        <w:tc>
          <w:tcPr>
            <w:tcW w:w="1189" w:type="dxa"/>
            <w:tcBorders>
              <w:top w:val="nil"/>
              <w:left w:val="nil"/>
              <w:bottom w:val="single" w:color="auto" w:sz="4" w:space="0"/>
              <w:right w:val="single" w:color="auto" w:sz="4" w:space="0"/>
            </w:tcBorders>
            <w:vAlign w:val="center"/>
          </w:tcPr>
          <w:p w14:paraId="56E77879">
            <w:pPr>
              <w:widowControl/>
              <w:spacing w:line="240" w:lineRule="exact"/>
              <w:jc w:val="center"/>
              <w:rPr>
                <w:rFonts w:hint="eastAsia" w:ascii="Times New Roman" w:hAnsi="Times New Roman" w:eastAsia="仿宋_GB2312" w:cs="Times New Roman"/>
                <w:kern w:val="0"/>
                <w:lang w:eastAsia="zh-CN"/>
              </w:rPr>
            </w:pPr>
            <w:r>
              <w:rPr>
                <w:rFonts w:hint="default" w:ascii="Times New Roman" w:hAnsi="Times New Roman" w:eastAsia="仿宋_GB2312" w:cs="Times New Roman"/>
                <w:kern w:val="0"/>
              </w:rPr>
              <w:t>批复规模</w:t>
            </w:r>
          </w:p>
          <w:p w14:paraId="419392E1">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849" w:type="dxa"/>
            <w:tcBorders>
              <w:top w:val="nil"/>
              <w:left w:val="nil"/>
              <w:bottom w:val="single" w:color="auto" w:sz="4" w:space="0"/>
              <w:right w:val="single" w:color="auto" w:sz="4" w:space="0"/>
            </w:tcBorders>
            <w:vAlign w:val="center"/>
          </w:tcPr>
          <w:p w14:paraId="2FD4E381">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1129" w:type="dxa"/>
            <w:tcBorders>
              <w:top w:val="nil"/>
              <w:left w:val="nil"/>
              <w:bottom w:val="single" w:color="auto" w:sz="4" w:space="0"/>
              <w:right w:val="single" w:color="auto" w:sz="4" w:space="0"/>
            </w:tcBorders>
            <w:vAlign w:val="center"/>
          </w:tcPr>
          <w:p w14:paraId="67C6995D">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111" w:type="dxa"/>
            <w:tcBorders>
              <w:top w:val="nil"/>
              <w:left w:val="nil"/>
              <w:bottom w:val="single" w:color="auto" w:sz="4" w:space="0"/>
              <w:right w:val="single" w:color="auto" w:sz="4" w:space="0"/>
            </w:tcBorders>
            <w:vAlign w:val="center"/>
          </w:tcPr>
          <w:p w14:paraId="1F5F4282">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预算投资（万元）</w:t>
            </w:r>
          </w:p>
        </w:tc>
        <w:tc>
          <w:tcPr>
            <w:tcW w:w="969" w:type="dxa"/>
            <w:tcBorders>
              <w:top w:val="nil"/>
              <w:left w:val="nil"/>
              <w:bottom w:val="single" w:color="auto" w:sz="4" w:space="0"/>
              <w:right w:val="single" w:color="auto" w:sz="4" w:space="0"/>
            </w:tcBorders>
            <w:vAlign w:val="center"/>
          </w:tcPr>
          <w:p w14:paraId="50649117">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实际投资（万元）</w:t>
            </w:r>
          </w:p>
        </w:tc>
        <w:tc>
          <w:tcPr>
            <w:tcW w:w="863" w:type="dxa"/>
            <w:tcBorders>
              <w:top w:val="nil"/>
              <w:left w:val="nil"/>
              <w:bottom w:val="single" w:color="auto" w:sz="4" w:space="0"/>
              <w:right w:val="single" w:color="auto" w:sz="4" w:space="0"/>
            </w:tcBorders>
            <w:vAlign w:val="center"/>
          </w:tcPr>
          <w:p w14:paraId="3FB3BFAB">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投资概算控制率</w:t>
            </w:r>
          </w:p>
        </w:tc>
      </w:tr>
      <w:tr w14:paraId="62F03002">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1D479AD9">
            <w:pPr>
              <w:widowControl/>
              <w:jc w:val="left"/>
              <w:rPr>
                <w:rFonts w:hint="default" w:ascii="Times New Roman" w:hAnsi="Times New Roman" w:eastAsia="仿宋_GB2312" w:cs="Times New Roman"/>
                <w:kern w:val="0"/>
              </w:rPr>
            </w:pPr>
          </w:p>
        </w:tc>
        <w:tc>
          <w:tcPr>
            <w:tcW w:w="1189" w:type="dxa"/>
            <w:tcBorders>
              <w:top w:val="nil"/>
              <w:left w:val="nil"/>
              <w:bottom w:val="single" w:color="auto" w:sz="4" w:space="0"/>
              <w:right w:val="single" w:color="auto" w:sz="4" w:space="0"/>
            </w:tcBorders>
            <w:vAlign w:val="center"/>
          </w:tcPr>
          <w:p w14:paraId="348C5A7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49" w:type="dxa"/>
            <w:tcBorders>
              <w:top w:val="nil"/>
              <w:left w:val="nil"/>
              <w:bottom w:val="single" w:color="auto" w:sz="4" w:space="0"/>
              <w:right w:val="single" w:color="auto" w:sz="4" w:space="0"/>
            </w:tcBorders>
            <w:vAlign w:val="center"/>
          </w:tcPr>
          <w:p w14:paraId="326FD2E2">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1129" w:type="dxa"/>
            <w:tcBorders>
              <w:top w:val="nil"/>
              <w:left w:val="nil"/>
              <w:bottom w:val="single" w:color="auto" w:sz="4" w:space="0"/>
              <w:right w:val="single" w:color="auto" w:sz="4" w:space="0"/>
            </w:tcBorders>
            <w:vAlign w:val="center"/>
          </w:tcPr>
          <w:p w14:paraId="7A8C898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c>
          <w:tcPr>
            <w:tcW w:w="1111" w:type="dxa"/>
            <w:tcBorders>
              <w:top w:val="nil"/>
              <w:left w:val="nil"/>
              <w:bottom w:val="single" w:color="auto" w:sz="4" w:space="0"/>
              <w:right w:val="single" w:color="auto" w:sz="4" w:space="0"/>
            </w:tcBorders>
            <w:vAlign w:val="center"/>
          </w:tcPr>
          <w:p w14:paraId="052E0B5B">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969" w:type="dxa"/>
            <w:tcBorders>
              <w:top w:val="nil"/>
              <w:left w:val="nil"/>
              <w:bottom w:val="single" w:color="auto" w:sz="4" w:space="0"/>
              <w:right w:val="single" w:color="auto" w:sz="4" w:space="0"/>
            </w:tcBorders>
            <w:vAlign w:val="center"/>
          </w:tcPr>
          <w:p w14:paraId="1B13B1EE">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63" w:type="dxa"/>
            <w:tcBorders>
              <w:top w:val="nil"/>
              <w:left w:val="nil"/>
              <w:bottom w:val="single" w:color="auto" w:sz="4" w:space="0"/>
              <w:right w:val="single" w:color="auto" w:sz="4" w:space="0"/>
            </w:tcBorders>
            <w:vAlign w:val="center"/>
          </w:tcPr>
          <w:p w14:paraId="3E1525C3">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r>
      <w:tr w14:paraId="41638B7E">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06B2AEF6">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623EC26B">
            <w:pPr>
              <w:pStyle w:val="1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highlight w:val="none"/>
              </w:rPr>
              <w:t>严控三公经费预算</w:t>
            </w:r>
            <w:r>
              <w:rPr>
                <w:rFonts w:hint="default" w:ascii="Times New Roman" w:hAnsi="Times New Roman" w:eastAsia="仿宋_GB2312" w:cs="Times New Roman"/>
                <w:kern w:val="0"/>
                <w:highlight w:val="none"/>
                <w:lang w:eastAsia="zh-CN"/>
              </w:rPr>
              <w:t>开支</w:t>
            </w:r>
            <w:r>
              <w:rPr>
                <w:rFonts w:hint="eastAsia" w:ascii="Times New Roman" w:hAnsi="Times New Roman" w:eastAsia="仿宋_GB2312" w:cs="Times New Roman"/>
                <w:kern w:val="0"/>
                <w:highlight w:val="none"/>
                <w:lang w:eastAsia="zh-CN"/>
              </w:rPr>
              <w:t>，</w:t>
            </w:r>
            <w:r>
              <w:rPr>
                <w:rFonts w:hint="default" w:ascii="Times New Roman" w:hAnsi="Times New Roman" w:eastAsia="仿宋_GB2312" w:cs="Times New Roman"/>
                <w:kern w:val="0"/>
                <w:highlight w:val="none"/>
                <w:lang w:eastAsia="zh-CN"/>
              </w:rPr>
              <w:t>进一步</w:t>
            </w:r>
            <w:r>
              <w:rPr>
                <w:rFonts w:hint="eastAsia" w:ascii="Times New Roman" w:hAnsi="Times New Roman" w:eastAsia="仿宋_GB2312" w:cs="Times New Roman"/>
                <w:kern w:val="0"/>
                <w:highlight w:val="none"/>
                <w:lang w:eastAsia="zh-CN"/>
              </w:rPr>
              <w:t>规范</w:t>
            </w:r>
            <w:r>
              <w:rPr>
                <w:rFonts w:hint="default" w:ascii="Times New Roman" w:hAnsi="Times New Roman" w:eastAsia="仿宋_GB2312" w:cs="Times New Roman"/>
                <w:kern w:val="0"/>
                <w:highlight w:val="none"/>
                <w:lang w:eastAsia="zh-CN"/>
              </w:rPr>
              <w:t>公务用餐管理</w:t>
            </w:r>
            <w:r>
              <w:rPr>
                <w:rFonts w:hint="default" w:ascii="Times New Roman" w:hAnsi="Times New Roman" w:eastAsia="仿宋_GB2312" w:cs="Times New Roman"/>
                <w:kern w:val="0"/>
                <w:highlight w:val="none"/>
              </w:rPr>
              <w:t>；大力压减一般性支出</w:t>
            </w:r>
            <w:r>
              <w:rPr>
                <w:rFonts w:hint="default" w:ascii="Times New Roman" w:hAnsi="Times New Roman" w:eastAsia="仿宋_GB2312" w:cs="Times New Roman"/>
                <w:kern w:val="0"/>
                <w:highlight w:val="none"/>
                <w:lang w:eastAsia="zh-CN"/>
              </w:rPr>
              <w:t>，按相关</w:t>
            </w:r>
            <w:r>
              <w:rPr>
                <w:rFonts w:hint="eastAsia" w:ascii="Times New Roman" w:hAnsi="Times New Roman" w:eastAsia="仿宋_GB2312" w:cs="Times New Roman"/>
                <w:kern w:val="0"/>
                <w:highlight w:val="none"/>
                <w:lang w:eastAsia="zh-CN"/>
              </w:rPr>
              <w:t>制度</w:t>
            </w:r>
            <w:r>
              <w:rPr>
                <w:rFonts w:hint="default" w:ascii="Times New Roman" w:hAnsi="Times New Roman" w:eastAsia="仿宋_GB2312" w:cs="Times New Roman"/>
                <w:kern w:val="0"/>
                <w:highlight w:val="none"/>
                <w:lang w:eastAsia="zh-CN"/>
              </w:rPr>
              <w:t>严格实施</w:t>
            </w:r>
            <w:r>
              <w:rPr>
                <w:rFonts w:hint="default" w:ascii="Times New Roman" w:hAnsi="Times New Roman" w:eastAsia="仿宋_GB2312" w:cs="Times New Roman"/>
                <w:kern w:val="0"/>
                <w:highlight w:val="none"/>
              </w:rPr>
              <w:t>电子卖场采购</w:t>
            </w:r>
            <w:r>
              <w:rPr>
                <w:rFonts w:hint="default" w:ascii="Times New Roman" w:hAnsi="Times New Roman" w:eastAsia="仿宋_GB2312" w:cs="Times New Roman"/>
                <w:kern w:val="0"/>
                <w:highlight w:val="none"/>
                <w:lang w:eastAsia="zh-CN"/>
              </w:rPr>
              <w:t>，严格控制日常办公用品采购均价；</w:t>
            </w:r>
            <w:r>
              <w:rPr>
                <w:rFonts w:hint="default" w:ascii="Times New Roman" w:hAnsi="Times New Roman" w:eastAsia="仿宋_GB2312" w:cs="Times New Roman"/>
                <w:kern w:val="0"/>
                <w:highlight w:val="none"/>
              </w:rPr>
              <w:t>公用经费开支审批制度严格</w:t>
            </w:r>
            <w:r>
              <w:rPr>
                <w:rFonts w:hint="default" w:ascii="Times New Roman" w:hAnsi="Times New Roman" w:eastAsia="仿宋_GB2312" w:cs="Times New Roman"/>
                <w:kern w:val="0"/>
                <w:highlight w:val="none"/>
                <w:lang w:eastAsia="zh-CN"/>
              </w:rPr>
              <w:t>、落地执行到位，</w:t>
            </w:r>
            <w:r>
              <w:rPr>
                <w:rFonts w:hint="default" w:ascii="Times New Roman" w:hAnsi="Times New Roman" w:eastAsia="仿宋_GB2312" w:cs="Times New Roman"/>
                <w:kern w:val="0"/>
                <w:highlight w:val="none"/>
              </w:rPr>
              <w:t>保障厉行节约。</w:t>
            </w:r>
          </w:p>
        </w:tc>
      </w:tr>
    </w:tbl>
    <w:p w14:paraId="10E68875">
      <w:pPr>
        <w:widowControl/>
        <w:spacing w:after="0" w:afterLines="0" w:line="40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kern w:val="0"/>
          <w:highlight w:val="none"/>
        </w:rPr>
        <w:t>填表人：彭紫叶 填报日期：202</w:t>
      </w:r>
      <w:r>
        <w:rPr>
          <w:rFonts w:hint="eastAsia" w:ascii="Times New Roman" w:hAnsi="Times New Roman" w:eastAsia="仿宋_GB2312" w:cs="Times New Roman"/>
          <w:kern w:val="0"/>
          <w:highlight w:val="none"/>
          <w:lang w:val="en-US" w:eastAsia="zh-CN"/>
        </w:rPr>
        <w:t>5</w:t>
      </w:r>
      <w:r>
        <w:rPr>
          <w:rFonts w:hint="default" w:ascii="Times New Roman" w:hAnsi="Times New Roman" w:eastAsia="仿宋_GB2312" w:cs="Times New Roman"/>
          <w:kern w:val="0"/>
          <w:highlight w:val="none"/>
        </w:rPr>
        <w:t>年</w:t>
      </w:r>
      <w:r>
        <w:rPr>
          <w:rFonts w:hint="eastAsia" w:ascii="Times New Roman" w:hAnsi="Times New Roman" w:eastAsia="仿宋_GB2312" w:cs="Times New Roman"/>
          <w:kern w:val="0"/>
          <w:highlight w:val="none"/>
          <w:lang w:val="en-US" w:eastAsia="zh-CN"/>
        </w:rPr>
        <w:t>3</w:t>
      </w:r>
      <w:r>
        <w:rPr>
          <w:rFonts w:hint="default" w:ascii="Times New Roman" w:hAnsi="Times New Roman" w:eastAsia="仿宋_GB2312" w:cs="Times New Roman"/>
          <w:kern w:val="0"/>
          <w:highlight w:val="none"/>
        </w:rPr>
        <w:t>月</w:t>
      </w:r>
      <w:r>
        <w:rPr>
          <w:rFonts w:hint="eastAsia" w:ascii="Times New Roman" w:hAnsi="Times New Roman" w:eastAsia="仿宋_GB2312" w:cs="Times New Roman"/>
          <w:kern w:val="0"/>
          <w:highlight w:val="none"/>
          <w:lang w:val="en-US" w:eastAsia="zh-CN"/>
        </w:rPr>
        <w:t>31</w:t>
      </w:r>
      <w:r>
        <w:rPr>
          <w:rFonts w:hint="default" w:ascii="Times New Roman" w:hAnsi="Times New Roman" w:eastAsia="仿宋_GB2312" w:cs="Times New Roman"/>
          <w:kern w:val="0"/>
          <w:highlight w:val="none"/>
        </w:rPr>
        <w:t>日 联系电话：85063995 单位负责人签字：</w:t>
      </w:r>
      <w:r>
        <w:rPr>
          <w:rFonts w:hint="default" w:ascii="Times New Roman" w:hAnsi="Times New Roman" w:eastAsia="仿宋_GB2312" w:cs="Times New Roman"/>
          <w:kern w:val="0"/>
          <w:sz w:val="22"/>
          <w:szCs w:val="22"/>
          <w:highlight w:val="none"/>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ED1840A">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3CB0FE2">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0CC62EB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省级预算部门</w:t>
            </w:r>
            <w:r>
              <w:rPr>
                <w:rFonts w:hint="eastAsia" w:ascii="Times New Roman" w:hAnsi="Times New Roman" w:eastAsia="仿宋_GB2312" w:cs="Times New Roman"/>
                <w:color w:val="000000"/>
                <w:sz w:val="20"/>
                <w:szCs w:val="20"/>
                <w:lang w:eastAsia="zh-CN"/>
              </w:rPr>
              <w:t>、单位</w:t>
            </w:r>
            <w:r>
              <w:rPr>
                <w:rFonts w:hint="default" w:ascii="Times New Roman" w:hAnsi="Times New Roman" w:eastAsia="仿宋_GB2312" w:cs="Times New Roman"/>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0"/>
            <w:vAlign w:val="center"/>
          </w:tcPr>
          <w:p w14:paraId="71D4E54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湖南省长株潭一体化发展事务中心</w:t>
            </w:r>
          </w:p>
        </w:tc>
      </w:tr>
      <w:tr w14:paraId="5DA5FFB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7DF94C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2D1B5DDC">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算申请</w:t>
            </w:r>
          </w:p>
          <w:p w14:paraId="24426DA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2FB45A00">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5934AF14">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385DE68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361CD303">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4BCCE3C2">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1A96770F">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623AF77A">
            <w:pPr>
              <w:spacing w:line="24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2EECB8C7">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2E563D2">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151CE9F8">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ED97589">
            <w:pPr>
              <w:spacing w:line="240" w:lineRule="exact"/>
              <w:jc w:val="center"/>
              <w:rPr>
                <w:rFonts w:hint="eastAsia"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229</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6</w:t>
            </w:r>
            <w:r>
              <w:rPr>
                <w:rFonts w:hint="eastAsia" w:ascii="Times New Roman" w:hAnsi="Times New Roman" w:eastAsia="仿宋_GB2312" w:cs="Times New Roman"/>
                <w:sz w:val="20"/>
                <w:szCs w:val="20"/>
                <w:highlight w:val="none"/>
                <w:lang w:val="en-US" w:eastAsia="zh-CN"/>
              </w:rPr>
              <w:t>3</w:t>
            </w:r>
          </w:p>
        </w:tc>
        <w:tc>
          <w:tcPr>
            <w:tcW w:w="1311" w:type="dxa"/>
            <w:tcBorders>
              <w:top w:val="nil"/>
              <w:left w:val="nil"/>
              <w:bottom w:val="single" w:color="auto" w:sz="4" w:space="0"/>
              <w:right w:val="single" w:color="auto" w:sz="4" w:space="0"/>
            </w:tcBorders>
            <w:noWrap w:val="0"/>
            <w:vAlign w:val="center"/>
          </w:tcPr>
          <w:p w14:paraId="0A65C00B">
            <w:pPr>
              <w:spacing w:line="240" w:lineRule="exact"/>
              <w:jc w:val="center"/>
              <w:rPr>
                <w:rFonts w:hint="eastAsia"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084</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3</w:t>
            </w:r>
          </w:p>
        </w:tc>
        <w:tc>
          <w:tcPr>
            <w:tcW w:w="1269" w:type="dxa"/>
            <w:tcBorders>
              <w:top w:val="nil"/>
              <w:left w:val="nil"/>
              <w:bottom w:val="single" w:color="auto" w:sz="4" w:space="0"/>
              <w:right w:val="single" w:color="auto" w:sz="4" w:space="0"/>
            </w:tcBorders>
            <w:noWrap w:val="0"/>
            <w:vAlign w:val="center"/>
          </w:tcPr>
          <w:p w14:paraId="4881452A">
            <w:pPr>
              <w:spacing w:line="240" w:lineRule="exact"/>
              <w:jc w:val="center"/>
              <w:rPr>
                <w:rFonts w:hint="eastAsia"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175</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7</w:t>
            </w:r>
            <w:r>
              <w:rPr>
                <w:rFonts w:hint="eastAsia" w:ascii="Times New Roman" w:hAnsi="Times New Roman" w:eastAsia="仿宋_GB2312" w:cs="Times New Roman"/>
                <w:sz w:val="20"/>
                <w:szCs w:val="20"/>
                <w:highlight w:val="none"/>
                <w:lang w:val="en-US" w:eastAsia="zh-CN"/>
              </w:rPr>
              <w:t>1</w:t>
            </w:r>
          </w:p>
        </w:tc>
        <w:tc>
          <w:tcPr>
            <w:tcW w:w="716" w:type="dxa"/>
            <w:tcBorders>
              <w:top w:val="nil"/>
              <w:left w:val="nil"/>
              <w:bottom w:val="single" w:color="auto" w:sz="4" w:space="0"/>
              <w:right w:val="single" w:color="auto" w:sz="4" w:space="0"/>
            </w:tcBorders>
            <w:noWrap w:val="0"/>
            <w:vAlign w:val="center"/>
          </w:tcPr>
          <w:p w14:paraId="3F14203F">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b w:val="0"/>
                <w:bCs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6DDDDEEC">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70.54%</w:t>
            </w:r>
          </w:p>
        </w:tc>
        <w:tc>
          <w:tcPr>
            <w:tcW w:w="1446" w:type="dxa"/>
            <w:tcBorders>
              <w:top w:val="nil"/>
              <w:left w:val="nil"/>
              <w:bottom w:val="single" w:color="auto" w:sz="4" w:space="0"/>
              <w:right w:val="single" w:color="auto" w:sz="4" w:space="0"/>
            </w:tcBorders>
            <w:noWrap w:val="0"/>
            <w:vAlign w:val="center"/>
          </w:tcPr>
          <w:p w14:paraId="7C970DED">
            <w:pPr>
              <w:spacing w:line="24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w:t>
            </w:r>
          </w:p>
        </w:tc>
      </w:tr>
      <w:tr w14:paraId="0D49A0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8AF72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9DAA038">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1E6DB3A7">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按支出性质分：</w:t>
            </w:r>
          </w:p>
        </w:tc>
      </w:tr>
      <w:tr w14:paraId="164E8F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E92C33">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0FD4279">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xml:space="preserve">  其中：  一般公共预算：</w:t>
            </w:r>
            <w:r>
              <w:rPr>
                <w:rFonts w:hint="default" w:ascii="Times New Roman" w:hAnsi="Times New Roman" w:eastAsia="仿宋_GB2312" w:cs="Times New Roman"/>
                <w:sz w:val="20"/>
                <w:szCs w:val="20"/>
                <w:highlight w:val="none"/>
              </w:rPr>
              <w:t>3,084.33</w:t>
            </w:r>
          </w:p>
        </w:tc>
        <w:tc>
          <w:tcPr>
            <w:tcW w:w="4304" w:type="dxa"/>
            <w:gridSpan w:val="4"/>
            <w:tcBorders>
              <w:top w:val="nil"/>
              <w:left w:val="nil"/>
              <w:bottom w:val="single" w:color="auto" w:sz="4" w:space="0"/>
              <w:right w:val="single" w:color="auto" w:sz="4" w:space="0"/>
            </w:tcBorders>
            <w:noWrap w:val="0"/>
            <w:vAlign w:val="center"/>
          </w:tcPr>
          <w:p w14:paraId="0E0DF6C5">
            <w:pPr>
              <w:widowControl/>
              <w:spacing w:line="240" w:lineRule="exact"/>
              <w:jc w:val="left"/>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其中：基本支出：990</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2</w:t>
            </w:r>
            <w:r>
              <w:rPr>
                <w:rFonts w:hint="eastAsia" w:ascii="Times New Roman" w:hAnsi="Times New Roman" w:eastAsia="仿宋_GB2312" w:cs="Times New Roman"/>
                <w:color w:val="000000"/>
                <w:sz w:val="20"/>
                <w:szCs w:val="20"/>
                <w:highlight w:val="none"/>
                <w:lang w:val="en-US" w:eastAsia="zh-CN"/>
              </w:rPr>
              <w:t>2</w:t>
            </w:r>
          </w:p>
        </w:tc>
      </w:tr>
      <w:tr w14:paraId="0A45C1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32479C">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018B188">
            <w:pPr>
              <w:widowControl/>
              <w:spacing w:line="240" w:lineRule="exact"/>
              <w:ind w:firstLine="800" w:firstLineChars="400"/>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35B9A7BB">
            <w:pPr>
              <w:widowControl/>
              <w:spacing w:line="240" w:lineRule="exact"/>
              <w:ind w:firstLine="600" w:firstLineChars="300"/>
              <w:jc w:val="left"/>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项目支出：1</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185</w:t>
            </w: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49</w:t>
            </w:r>
          </w:p>
        </w:tc>
      </w:tr>
      <w:tr w14:paraId="025DDC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7551CA">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D9587C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169EDAF1">
            <w:pPr>
              <w:widowControl/>
              <w:spacing w:line="240" w:lineRule="exact"/>
              <w:jc w:val="left"/>
              <w:rPr>
                <w:rFonts w:hint="default" w:ascii="Times New Roman" w:hAnsi="Times New Roman" w:eastAsia="仿宋_GB2312" w:cs="Times New Roman"/>
                <w:color w:val="000000"/>
                <w:sz w:val="20"/>
                <w:szCs w:val="20"/>
              </w:rPr>
            </w:pPr>
          </w:p>
        </w:tc>
      </w:tr>
      <w:tr w14:paraId="09F0F41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5930705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C49CAA2">
            <w:pPr>
              <w:widowControl/>
              <w:spacing w:line="240" w:lineRule="exact"/>
              <w:ind w:firstLine="1400" w:firstLineChars="7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15366725">
            <w:pPr>
              <w:widowControl/>
              <w:spacing w:line="240" w:lineRule="exact"/>
              <w:jc w:val="left"/>
              <w:rPr>
                <w:rFonts w:hint="default" w:ascii="Times New Roman" w:hAnsi="Times New Roman" w:eastAsia="仿宋_GB2312" w:cs="Times New Roman"/>
                <w:color w:val="000000"/>
                <w:sz w:val="20"/>
                <w:szCs w:val="20"/>
              </w:rPr>
            </w:pPr>
          </w:p>
        </w:tc>
      </w:tr>
      <w:tr w14:paraId="0D5D186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8D752C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0C0F651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42A2E6F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574DB656">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CC3E66">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367251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c>
          <w:tcPr>
            <w:tcW w:w="4304" w:type="dxa"/>
            <w:gridSpan w:val="4"/>
            <w:tcBorders>
              <w:top w:val="single" w:color="auto" w:sz="4" w:space="0"/>
              <w:left w:val="nil"/>
              <w:bottom w:val="single" w:color="auto" w:sz="4" w:space="0"/>
              <w:right w:val="single" w:color="auto" w:sz="4" w:space="0"/>
            </w:tcBorders>
            <w:noWrap w:val="0"/>
            <w:vAlign w:val="center"/>
          </w:tcPr>
          <w:p w14:paraId="7E3FABD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r>
      <w:tr w14:paraId="4FFE768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C48828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09CC65D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8C556E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30B4125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6CA4D8B3">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799FF5A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635A809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1AA8B62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1178E02C">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3BC48652">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7D6B27F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68D7F74E">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46" w:type="dxa"/>
            <w:tcBorders>
              <w:top w:val="nil"/>
              <w:left w:val="nil"/>
              <w:bottom w:val="single" w:color="auto" w:sz="4" w:space="0"/>
              <w:right w:val="single" w:color="auto" w:sz="4" w:space="0"/>
            </w:tcBorders>
            <w:noWrap w:val="0"/>
            <w:vAlign w:val="center"/>
          </w:tcPr>
          <w:p w14:paraId="046DC336">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3E3582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7AC006">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47C6AF7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D37C575">
            <w:pPr>
              <w:widowControl/>
              <w:spacing w:line="240" w:lineRule="exact"/>
              <w:jc w:val="center"/>
              <w:rPr>
                <w:rFonts w:hint="default" w:ascii="Times New Roman" w:hAnsi="Times New Roman" w:eastAsia="仿宋_GB2312" w:cs="Times New Roman"/>
                <w:color w:val="000000"/>
                <w:sz w:val="20"/>
                <w:szCs w:val="20"/>
              </w:rPr>
            </w:pPr>
          </w:p>
          <w:p w14:paraId="5945393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tcBorders>
              <w:top w:val="nil"/>
              <w:left w:val="nil"/>
              <w:bottom w:val="single" w:color="auto" w:sz="4" w:space="0"/>
              <w:right w:val="single" w:color="auto" w:sz="4" w:space="0"/>
            </w:tcBorders>
            <w:noWrap w:val="0"/>
            <w:vAlign w:val="center"/>
          </w:tcPr>
          <w:p w14:paraId="45AF26D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14:paraId="4BF5A1EE">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在职人员控制率</w:t>
            </w:r>
          </w:p>
        </w:tc>
        <w:tc>
          <w:tcPr>
            <w:tcW w:w="1311" w:type="dxa"/>
            <w:tcBorders>
              <w:top w:val="nil"/>
              <w:left w:val="nil"/>
              <w:bottom w:val="single" w:color="auto" w:sz="4" w:space="0"/>
              <w:right w:val="single" w:color="auto" w:sz="4" w:space="0"/>
            </w:tcBorders>
            <w:noWrap w:val="0"/>
            <w:vAlign w:val="center"/>
          </w:tcPr>
          <w:p w14:paraId="7813D2F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以100%为标准。在职人员控制率</w:t>
            </w:r>
            <w:r>
              <w:rPr>
                <w:rFonts w:hint="default" w:ascii="Times New Roman" w:hAnsi="Times New Roman" w:cs="Times New Roman"/>
                <w:color w:val="000000"/>
                <w:kern w:val="0"/>
                <w:sz w:val="20"/>
                <w:szCs w:val="20"/>
                <w:highlight w:val="none"/>
              </w:rPr>
              <w:t>≦</w:t>
            </w:r>
            <w:r>
              <w:rPr>
                <w:rFonts w:hint="default" w:ascii="Times New Roman" w:hAnsi="Times New Roman" w:eastAsia="仿宋_GB2312" w:cs="Times New Roman"/>
                <w:color w:val="000000"/>
                <w:kern w:val="0"/>
                <w:sz w:val="20"/>
                <w:szCs w:val="20"/>
                <w:highlight w:val="none"/>
              </w:rPr>
              <w:t>100%，计5分；每超过一个百分点扣0.5分，扣完为止。</w:t>
            </w:r>
          </w:p>
        </w:tc>
        <w:tc>
          <w:tcPr>
            <w:tcW w:w="1269" w:type="dxa"/>
            <w:tcBorders>
              <w:top w:val="nil"/>
              <w:left w:val="nil"/>
              <w:bottom w:val="single" w:color="auto" w:sz="4" w:space="0"/>
              <w:right w:val="single" w:color="auto" w:sz="4" w:space="0"/>
            </w:tcBorders>
            <w:noWrap w:val="0"/>
            <w:vAlign w:val="center"/>
          </w:tcPr>
          <w:p w14:paraId="2A1B3ACC">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rPr>
              <w:t>63.64</w:t>
            </w:r>
            <w:r>
              <w:rPr>
                <w:rFonts w:hint="default" w:ascii="Times New Roman" w:hAnsi="Times New Roman" w:eastAsia="仿宋_GB2312" w:cs="Times New Roman"/>
                <w:color w:val="000000"/>
                <w:kern w:val="0"/>
                <w:sz w:val="20"/>
                <w:szCs w:val="20"/>
                <w:highlight w:val="none"/>
              </w:rPr>
              <w:t>%</w:t>
            </w:r>
          </w:p>
        </w:tc>
        <w:tc>
          <w:tcPr>
            <w:tcW w:w="716" w:type="dxa"/>
            <w:tcBorders>
              <w:top w:val="nil"/>
              <w:left w:val="nil"/>
              <w:bottom w:val="single" w:color="auto" w:sz="4" w:space="0"/>
              <w:right w:val="single" w:color="auto" w:sz="4" w:space="0"/>
            </w:tcBorders>
            <w:noWrap w:val="0"/>
            <w:vAlign w:val="center"/>
          </w:tcPr>
          <w:p w14:paraId="7A72F9DF">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873" w:type="dxa"/>
            <w:tcBorders>
              <w:top w:val="nil"/>
              <w:left w:val="nil"/>
              <w:bottom w:val="single" w:color="auto" w:sz="4" w:space="0"/>
              <w:right w:val="single" w:color="auto" w:sz="4" w:space="0"/>
            </w:tcBorders>
            <w:noWrap w:val="0"/>
            <w:vAlign w:val="center"/>
          </w:tcPr>
          <w:p w14:paraId="0CFE48AF">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1446" w:type="dxa"/>
            <w:tcBorders>
              <w:top w:val="nil"/>
              <w:left w:val="nil"/>
              <w:bottom w:val="single" w:color="auto" w:sz="4" w:space="0"/>
              <w:right w:val="single" w:color="auto" w:sz="4" w:space="0"/>
            </w:tcBorders>
            <w:noWrap w:val="0"/>
            <w:vAlign w:val="center"/>
          </w:tcPr>
          <w:p w14:paraId="0D213C7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9CE3F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A1B7F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3EA10AD">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0126465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14:paraId="43A5BF17">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管理制度健全性</w:t>
            </w:r>
          </w:p>
        </w:tc>
        <w:tc>
          <w:tcPr>
            <w:tcW w:w="1311" w:type="dxa"/>
            <w:tcBorders>
              <w:top w:val="nil"/>
              <w:left w:val="nil"/>
              <w:bottom w:val="single" w:color="auto" w:sz="4" w:space="0"/>
              <w:right w:val="single" w:color="auto" w:sz="4" w:space="0"/>
            </w:tcBorders>
            <w:noWrap w:val="0"/>
            <w:vAlign w:val="center"/>
          </w:tcPr>
          <w:p w14:paraId="3BA5FA9C">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①有内部财务管理制度、会计核算制度等管理制度，2分；</w:t>
            </w:r>
          </w:p>
          <w:p w14:paraId="214E044B">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②有本部门厉行节约制度</w:t>
            </w:r>
            <w:r>
              <w:rPr>
                <w:rFonts w:hint="eastAsia"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highlight w:val="none"/>
              </w:rPr>
              <w:t>2分；</w:t>
            </w:r>
          </w:p>
          <w:p w14:paraId="1AABF7D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③相关管理制度合法、合规、完整，2分；④相关管理制度得到有效执行，2分。</w:t>
            </w:r>
          </w:p>
        </w:tc>
        <w:tc>
          <w:tcPr>
            <w:tcW w:w="1269" w:type="dxa"/>
            <w:tcBorders>
              <w:top w:val="nil"/>
              <w:left w:val="nil"/>
              <w:bottom w:val="single" w:color="auto" w:sz="4" w:space="0"/>
              <w:right w:val="single" w:color="auto" w:sz="4" w:space="0"/>
            </w:tcBorders>
            <w:noWrap w:val="0"/>
            <w:vAlign w:val="center"/>
          </w:tcPr>
          <w:p w14:paraId="317560D9">
            <w:pPr>
              <w:widowControl/>
              <w:spacing w:line="240" w:lineRule="exact"/>
              <w:jc w:val="left"/>
              <w:rPr>
                <w:rFonts w:hint="default" w:ascii="Times New Roman" w:hAnsi="Times New Roman" w:eastAsia="仿宋_GB2312" w:cs="Times New Roman"/>
                <w:b/>
                <w:bCs/>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有内部财务管理制度、会计核算制度等管理制度、厉行节约制度，相关管理制度合法、合规、完整，且得到有效执行。</w:t>
            </w:r>
          </w:p>
        </w:tc>
        <w:tc>
          <w:tcPr>
            <w:tcW w:w="716" w:type="dxa"/>
            <w:tcBorders>
              <w:top w:val="nil"/>
              <w:left w:val="nil"/>
              <w:bottom w:val="single" w:color="auto" w:sz="4" w:space="0"/>
              <w:right w:val="single" w:color="auto" w:sz="4" w:space="0"/>
            </w:tcBorders>
            <w:noWrap w:val="0"/>
            <w:vAlign w:val="center"/>
          </w:tcPr>
          <w:p w14:paraId="538DCA1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225BF39">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3C4B9CD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95F73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B18100">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596A87E">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21C4451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14:paraId="6D16A4EA">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完成时间</w:t>
            </w:r>
          </w:p>
        </w:tc>
        <w:tc>
          <w:tcPr>
            <w:tcW w:w="1311" w:type="dxa"/>
            <w:tcBorders>
              <w:top w:val="nil"/>
              <w:left w:val="nil"/>
              <w:bottom w:val="single" w:color="auto" w:sz="4" w:space="0"/>
              <w:right w:val="single" w:color="auto" w:sz="4" w:space="0"/>
            </w:tcBorders>
            <w:noWrap w:val="0"/>
            <w:vAlign w:val="center"/>
          </w:tcPr>
          <w:p w14:paraId="410AB4F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202</w:t>
            </w:r>
            <w:r>
              <w:rPr>
                <w:rFonts w:hint="eastAsia" w:ascii="Times New Roman" w:hAnsi="Times New Roman" w:eastAsia="仿宋_GB2312" w:cs="Times New Roman"/>
                <w:color w:val="000000"/>
                <w:kern w:val="0"/>
                <w:sz w:val="20"/>
                <w:szCs w:val="20"/>
                <w:highlight w:val="none"/>
                <w:lang w:val="en-US" w:eastAsia="zh-CN"/>
              </w:rPr>
              <w:t>4</w:t>
            </w:r>
            <w:r>
              <w:rPr>
                <w:rFonts w:hint="default" w:ascii="Times New Roman" w:hAnsi="Times New Roman" w:eastAsia="仿宋_GB2312" w:cs="Times New Roman"/>
                <w:color w:val="000000"/>
                <w:kern w:val="0"/>
                <w:sz w:val="20"/>
                <w:szCs w:val="20"/>
                <w:highlight w:val="none"/>
              </w:rPr>
              <w:t>年底以前</w:t>
            </w:r>
            <w:r>
              <w:rPr>
                <w:rFonts w:hint="default" w:ascii="Times New Roman" w:hAnsi="Times New Roman" w:eastAsia="仿宋_GB2312" w:cs="Times New Roman"/>
                <w:color w:val="000000"/>
                <w:kern w:val="0"/>
                <w:sz w:val="20"/>
                <w:szCs w:val="20"/>
                <w:highlight w:val="none"/>
                <w:lang w:eastAsia="zh-CN"/>
              </w:rPr>
              <w:t>。</w:t>
            </w:r>
          </w:p>
        </w:tc>
        <w:tc>
          <w:tcPr>
            <w:tcW w:w="1269" w:type="dxa"/>
            <w:tcBorders>
              <w:top w:val="nil"/>
              <w:left w:val="nil"/>
              <w:bottom w:val="single" w:color="auto" w:sz="4" w:space="0"/>
              <w:right w:val="single" w:color="auto" w:sz="4" w:space="0"/>
            </w:tcBorders>
            <w:noWrap w:val="0"/>
            <w:vAlign w:val="center"/>
          </w:tcPr>
          <w:p w14:paraId="0151A0AE">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已完成</w:t>
            </w:r>
            <w:r>
              <w:rPr>
                <w:rFonts w:hint="default" w:ascii="Times New Roman" w:hAnsi="Times New Roman" w:eastAsia="仿宋_GB2312" w:cs="Times New Roman"/>
                <w:color w:val="000000"/>
                <w:kern w:val="0"/>
                <w:sz w:val="20"/>
                <w:szCs w:val="20"/>
                <w:highlight w:val="none"/>
                <w:lang w:eastAsia="zh-CN"/>
              </w:rPr>
              <w:t>。</w:t>
            </w:r>
          </w:p>
        </w:tc>
        <w:tc>
          <w:tcPr>
            <w:tcW w:w="716" w:type="dxa"/>
            <w:tcBorders>
              <w:top w:val="nil"/>
              <w:left w:val="nil"/>
              <w:bottom w:val="single" w:color="auto" w:sz="4" w:space="0"/>
              <w:right w:val="single" w:color="auto" w:sz="4" w:space="0"/>
            </w:tcBorders>
            <w:noWrap w:val="0"/>
            <w:vAlign w:val="center"/>
          </w:tcPr>
          <w:p w14:paraId="6C87A9D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5105F99">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737E82B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D24D2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BD90A5">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348381C">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07CC797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52AB16">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公用经费控制率</w:t>
            </w:r>
          </w:p>
        </w:tc>
        <w:tc>
          <w:tcPr>
            <w:tcW w:w="1311" w:type="dxa"/>
            <w:tcBorders>
              <w:top w:val="single" w:color="auto" w:sz="4" w:space="0"/>
              <w:left w:val="nil"/>
              <w:bottom w:val="single" w:color="auto" w:sz="4" w:space="0"/>
              <w:right w:val="single" w:color="auto" w:sz="4" w:space="0"/>
            </w:tcBorders>
            <w:noWrap w:val="0"/>
            <w:vAlign w:val="center"/>
          </w:tcPr>
          <w:p w14:paraId="1D6F79D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14:paraId="327BC647">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86.35</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14:paraId="17F6BFF7">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14:paraId="15672A0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14:paraId="7662EE3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6DF21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A4F6B2">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501A26F5">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6A13E61D">
            <w:pPr>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14:paraId="4EAA25A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“三公经费”控制率</w:t>
            </w:r>
          </w:p>
        </w:tc>
        <w:tc>
          <w:tcPr>
            <w:tcW w:w="1311" w:type="dxa"/>
            <w:tcBorders>
              <w:top w:val="single" w:color="auto" w:sz="4" w:space="0"/>
              <w:left w:val="nil"/>
              <w:bottom w:val="single" w:color="auto" w:sz="4" w:space="0"/>
              <w:right w:val="single" w:color="auto" w:sz="4" w:space="0"/>
            </w:tcBorders>
            <w:noWrap w:val="0"/>
            <w:vAlign w:val="center"/>
          </w:tcPr>
          <w:p w14:paraId="5111C871">
            <w:pPr>
              <w:widowControl/>
              <w:spacing w:line="240" w:lineRule="exact"/>
              <w:jc w:val="left"/>
              <w:rPr>
                <w:rFonts w:hint="default" w:ascii="Times New Roman" w:hAnsi="Times New Roman" w:eastAsia="宋体" w:cs="Times New Roman"/>
                <w:kern w:val="2"/>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14:paraId="7CCAFF19">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56.51</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14:paraId="1CD0B7BA">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14:paraId="7519A22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14:paraId="2EF59E4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D997D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E26514">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60C377A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665461B3">
            <w:pPr>
              <w:widowControl/>
              <w:spacing w:line="240" w:lineRule="exact"/>
              <w:jc w:val="left"/>
              <w:rPr>
                <w:rFonts w:hint="default" w:ascii="Times New Roman" w:hAnsi="Times New Roman" w:eastAsia="仿宋_GB2312" w:cs="Times New Roman"/>
                <w:color w:val="000000"/>
                <w:sz w:val="20"/>
                <w:szCs w:val="20"/>
              </w:rPr>
            </w:pPr>
          </w:p>
          <w:p w14:paraId="6AD3DC4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47B5CC0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14:paraId="1FDB224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5756B88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185CED47">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项目建设</w:t>
            </w:r>
          </w:p>
        </w:tc>
        <w:tc>
          <w:tcPr>
            <w:tcW w:w="1311" w:type="dxa"/>
            <w:tcBorders>
              <w:top w:val="nil"/>
              <w:left w:val="nil"/>
              <w:bottom w:val="single" w:color="auto" w:sz="4" w:space="0"/>
              <w:right w:val="single" w:color="auto" w:sz="4" w:space="0"/>
            </w:tcBorders>
            <w:noWrap w:val="0"/>
            <w:vAlign w:val="center"/>
          </w:tcPr>
          <w:p w14:paraId="7383BB33">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推动长株潭产业协同发展、重大项目建设效果良好</w:t>
            </w:r>
            <w:r>
              <w:rPr>
                <w:rFonts w:hint="eastAsia" w:ascii="Times New Roman" w:hAnsi="Times New Roman" w:eastAsia="仿宋_GB2312" w:cs="Times New Roman"/>
                <w:color w:val="000000"/>
                <w:sz w:val="20"/>
                <w:szCs w:val="20"/>
                <w:highlight w:val="none"/>
                <w:lang w:eastAsia="zh-CN"/>
              </w:rPr>
              <w:t>。</w:t>
            </w:r>
          </w:p>
        </w:tc>
        <w:tc>
          <w:tcPr>
            <w:tcW w:w="1269" w:type="dxa"/>
            <w:tcBorders>
              <w:top w:val="nil"/>
              <w:left w:val="nil"/>
              <w:bottom w:val="single" w:color="auto" w:sz="4" w:space="0"/>
              <w:right w:val="single" w:color="auto" w:sz="4" w:space="0"/>
            </w:tcBorders>
            <w:noWrap w:val="0"/>
            <w:vAlign w:val="center"/>
          </w:tcPr>
          <w:p w14:paraId="180E9EE0">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nil"/>
              <w:left w:val="nil"/>
              <w:bottom w:val="single" w:color="auto" w:sz="4" w:space="0"/>
              <w:right w:val="single" w:color="auto" w:sz="4" w:space="0"/>
            </w:tcBorders>
            <w:noWrap w:val="0"/>
            <w:vAlign w:val="center"/>
          </w:tcPr>
          <w:p w14:paraId="5EBB3A5B">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1BA491E">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3EB35A10">
            <w:pPr>
              <w:widowControl/>
              <w:spacing w:line="240" w:lineRule="exact"/>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4FC616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8D3550">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C7E67A5">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0DD7040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D028A6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0D1AD172">
            <w:pPr>
              <w:widowControl/>
              <w:spacing w:line="240" w:lineRule="exact"/>
              <w:jc w:val="left"/>
              <w:rPr>
                <w:rFonts w:hint="eastAsia" w:ascii="Times New Roman" w:hAnsi="Times New Roman" w:eastAsia="仿宋_GB2312" w:cs="Times New Roman"/>
                <w:color w:val="000000"/>
                <w:kern w:val="0"/>
                <w:sz w:val="20"/>
                <w:szCs w:val="20"/>
                <w:highlight w:val="yellow"/>
                <w:lang w:val="en-US" w:eastAsia="zh-CN" w:bidi="ar-SA"/>
              </w:rPr>
            </w:pPr>
            <w:r>
              <w:rPr>
                <w:rFonts w:hint="eastAsia" w:ascii="Times New Roman" w:hAnsi="Times New Roman" w:eastAsia="仿宋_GB2312" w:cs="Times New Roman"/>
                <w:color w:val="000000"/>
                <w:kern w:val="0"/>
                <w:sz w:val="20"/>
                <w:szCs w:val="20"/>
                <w:highlight w:val="none"/>
                <w:lang w:eastAsia="zh-CN"/>
              </w:rPr>
              <w:t>公共服务</w:t>
            </w:r>
          </w:p>
        </w:tc>
        <w:tc>
          <w:tcPr>
            <w:tcW w:w="1311" w:type="dxa"/>
            <w:tcBorders>
              <w:top w:val="nil"/>
              <w:left w:val="nil"/>
              <w:bottom w:val="single" w:color="auto" w:sz="4" w:space="0"/>
              <w:right w:val="single" w:color="auto" w:sz="4" w:space="0"/>
            </w:tcBorders>
            <w:noWrap w:val="0"/>
            <w:vAlign w:val="center"/>
          </w:tcPr>
          <w:p w14:paraId="3364335F">
            <w:pPr>
              <w:widowControl/>
              <w:spacing w:line="240" w:lineRule="exact"/>
              <w:jc w:val="left"/>
              <w:rPr>
                <w:rFonts w:hint="eastAsia" w:ascii="Times New Roman" w:hAnsi="Times New Roman" w:eastAsia="仿宋_GB2312" w:cs="Times New Roman"/>
                <w:color w:val="000000"/>
                <w:sz w:val="20"/>
                <w:szCs w:val="20"/>
                <w:highlight w:val="yellow"/>
                <w:lang w:eastAsia="zh-CN"/>
              </w:rPr>
            </w:pPr>
            <w:r>
              <w:rPr>
                <w:rFonts w:hint="default" w:ascii="Times New Roman" w:hAnsi="Times New Roman" w:eastAsia="仿宋_GB2312" w:cs="Times New Roman"/>
                <w:color w:val="000000"/>
                <w:sz w:val="20"/>
                <w:szCs w:val="20"/>
                <w:highlight w:val="none"/>
              </w:rPr>
              <w:t>推动长株潭公共服务建设、基础设施建设效果良好。</w:t>
            </w:r>
          </w:p>
        </w:tc>
        <w:tc>
          <w:tcPr>
            <w:tcW w:w="1269" w:type="dxa"/>
            <w:tcBorders>
              <w:top w:val="nil"/>
              <w:left w:val="nil"/>
              <w:bottom w:val="single" w:color="auto" w:sz="4" w:space="0"/>
              <w:right w:val="single" w:color="auto" w:sz="4" w:space="0"/>
            </w:tcBorders>
            <w:noWrap w:val="0"/>
            <w:vAlign w:val="center"/>
          </w:tcPr>
          <w:p w14:paraId="24FA342E">
            <w:pPr>
              <w:widowControl/>
              <w:spacing w:line="240" w:lineRule="exact"/>
              <w:jc w:val="left"/>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nil"/>
              <w:left w:val="nil"/>
              <w:bottom w:val="single" w:color="auto" w:sz="4" w:space="0"/>
              <w:right w:val="single" w:color="auto" w:sz="4" w:space="0"/>
            </w:tcBorders>
            <w:noWrap w:val="0"/>
            <w:vAlign w:val="center"/>
          </w:tcPr>
          <w:p w14:paraId="6E4011F7">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44CDB54">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DCC4A04">
            <w:pPr>
              <w:widowControl/>
              <w:spacing w:line="240" w:lineRule="exact"/>
              <w:jc w:val="left"/>
              <w:rPr>
                <w:rFonts w:hint="eastAsia" w:ascii="Times New Roman" w:hAnsi="Times New Roman" w:eastAsia="仿宋_GB2312" w:cs="Times New Roman"/>
                <w:color w:val="000000"/>
                <w:sz w:val="20"/>
                <w:szCs w:val="20"/>
                <w:highlight w:val="yellow"/>
                <w:lang w:eastAsia="zh-CN"/>
              </w:rPr>
            </w:pPr>
          </w:p>
        </w:tc>
      </w:tr>
      <w:tr w14:paraId="156319C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1A3D69">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8196E53">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6DA4B82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07A599C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321D823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eastAsia="zh-CN"/>
              </w:rPr>
              <w:t>绿心保护</w:t>
            </w:r>
          </w:p>
        </w:tc>
        <w:tc>
          <w:tcPr>
            <w:tcW w:w="1311" w:type="dxa"/>
            <w:tcBorders>
              <w:top w:val="nil"/>
              <w:left w:val="nil"/>
              <w:bottom w:val="single" w:color="auto" w:sz="4" w:space="0"/>
              <w:right w:val="single" w:color="auto" w:sz="4" w:space="0"/>
            </w:tcBorders>
            <w:noWrap w:val="0"/>
            <w:vAlign w:val="center"/>
          </w:tcPr>
          <w:p w14:paraId="269588AF">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绿心生态环境持续加强</w:t>
            </w:r>
            <w:r>
              <w:rPr>
                <w:rFonts w:hint="eastAsia" w:ascii="Times New Roman" w:hAnsi="Times New Roman" w:eastAsia="仿宋_GB2312" w:cs="Times New Roman"/>
                <w:color w:val="000000"/>
                <w:sz w:val="20"/>
                <w:szCs w:val="20"/>
                <w:highlight w:val="none"/>
                <w:lang w:eastAsia="zh-CN"/>
              </w:rPr>
              <w:t>。</w:t>
            </w:r>
          </w:p>
        </w:tc>
        <w:tc>
          <w:tcPr>
            <w:tcW w:w="1269" w:type="dxa"/>
            <w:tcBorders>
              <w:top w:val="nil"/>
              <w:left w:val="nil"/>
              <w:bottom w:val="single" w:color="auto" w:sz="4" w:space="0"/>
              <w:right w:val="single" w:color="auto" w:sz="4" w:space="0"/>
            </w:tcBorders>
            <w:noWrap w:val="0"/>
            <w:vAlign w:val="center"/>
          </w:tcPr>
          <w:p w14:paraId="72B0EC19">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nil"/>
              <w:left w:val="nil"/>
              <w:bottom w:val="single" w:color="auto" w:sz="4" w:space="0"/>
              <w:right w:val="single" w:color="auto" w:sz="4" w:space="0"/>
            </w:tcBorders>
            <w:noWrap w:val="0"/>
            <w:vAlign w:val="center"/>
          </w:tcPr>
          <w:p w14:paraId="6CBBB74F">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A49AB80">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77DA7F2F">
            <w:pPr>
              <w:widowControl/>
              <w:spacing w:line="240" w:lineRule="exact"/>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2A45A698">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04CAEC71">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08602EBB">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8D582F">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4DBB0EA">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宣传</w:t>
            </w:r>
            <w:r>
              <w:rPr>
                <w:rFonts w:hint="eastAsia" w:ascii="Times New Roman" w:hAnsi="Times New Roman" w:eastAsia="仿宋_GB2312" w:cs="Times New Roman"/>
                <w:color w:val="000000"/>
                <w:kern w:val="0"/>
                <w:sz w:val="20"/>
                <w:szCs w:val="20"/>
                <w:highlight w:val="none"/>
                <w:lang w:eastAsia="zh-CN"/>
              </w:rPr>
              <w:t>推介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E5419D6">
            <w:pPr>
              <w:widowControl/>
              <w:spacing w:line="240" w:lineRule="exact"/>
              <w:jc w:val="left"/>
              <w:rPr>
                <w:rFonts w:hint="eastAsia" w:ascii="Times New Roman" w:hAnsi="Times New Roman" w:eastAsia="仿宋_GB2312" w:cs="Times New Roman"/>
                <w:color w:val="000000"/>
                <w:sz w:val="20"/>
                <w:szCs w:val="20"/>
                <w:highlight w:val="yellow"/>
                <w:lang w:eastAsia="zh-CN"/>
              </w:rPr>
            </w:pPr>
            <w:r>
              <w:rPr>
                <w:rFonts w:hint="default" w:ascii="Times New Roman" w:hAnsi="Times New Roman" w:eastAsia="仿宋_GB2312" w:cs="Times New Roman"/>
                <w:color w:val="000000"/>
                <w:sz w:val="20"/>
                <w:szCs w:val="20"/>
                <w:highlight w:val="none"/>
              </w:rPr>
              <w:t>宣传推介长株潭一体化发展相关信息效果良好。</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07E2D6">
            <w:pPr>
              <w:widowControl/>
              <w:spacing w:line="240" w:lineRule="exact"/>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36D8E3">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D95E6B">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F656D7">
            <w:pPr>
              <w:widowControl/>
              <w:spacing w:line="240" w:lineRule="exact"/>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4D7F9B5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01787695">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14:paraId="3739A5B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7EF24BF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93683A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698A954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14:paraId="61D47AD5">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社会公众或服务对象满意度</w:t>
            </w:r>
          </w:p>
        </w:tc>
        <w:tc>
          <w:tcPr>
            <w:tcW w:w="1311" w:type="dxa"/>
            <w:tcBorders>
              <w:top w:val="nil"/>
              <w:left w:val="nil"/>
              <w:bottom w:val="single" w:color="auto" w:sz="4" w:space="0"/>
              <w:right w:val="single" w:color="auto" w:sz="4" w:space="0"/>
            </w:tcBorders>
            <w:noWrap w:val="0"/>
            <w:vAlign w:val="center"/>
          </w:tcPr>
          <w:p w14:paraId="6A07E3DD">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90%（含）以上计10分；</w:t>
            </w:r>
          </w:p>
          <w:p w14:paraId="0D32FE45">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80%（含）-90%，计8分；</w:t>
            </w:r>
          </w:p>
          <w:p w14:paraId="3F4EBE4F">
            <w:pPr>
              <w:widowControl/>
              <w:spacing w:line="240" w:lineRule="exact"/>
              <w:jc w:val="left"/>
              <w:rPr>
                <w:rFonts w:hint="eastAsia"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70%（含）-80%，计6分；</w:t>
            </w:r>
          </w:p>
          <w:p w14:paraId="045BA4F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低于70%计0分。</w:t>
            </w:r>
          </w:p>
        </w:tc>
        <w:tc>
          <w:tcPr>
            <w:tcW w:w="1269" w:type="dxa"/>
            <w:tcBorders>
              <w:top w:val="nil"/>
              <w:left w:val="nil"/>
              <w:bottom w:val="single" w:color="auto" w:sz="4" w:space="0"/>
              <w:right w:val="single" w:color="auto" w:sz="4" w:space="0"/>
            </w:tcBorders>
            <w:noWrap w:val="0"/>
            <w:vAlign w:val="center"/>
          </w:tcPr>
          <w:p w14:paraId="1629609A">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90%</w:t>
            </w:r>
          </w:p>
        </w:tc>
        <w:tc>
          <w:tcPr>
            <w:tcW w:w="716" w:type="dxa"/>
            <w:tcBorders>
              <w:top w:val="nil"/>
              <w:left w:val="nil"/>
              <w:bottom w:val="single" w:color="auto" w:sz="4" w:space="0"/>
              <w:right w:val="single" w:color="auto" w:sz="4" w:space="0"/>
            </w:tcBorders>
            <w:noWrap w:val="0"/>
            <w:vAlign w:val="center"/>
          </w:tcPr>
          <w:p w14:paraId="153843B9">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BB4313A">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eastAsia" w:ascii="Times New Roman" w:hAnsi="Times New Roman" w:eastAsia="仿宋_GB2312" w:cs="Times New Roman"/>
                <w:color w:val="000000"/>
                <w:kern w:val="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B238D4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0C88CCE">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03680EC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5D6A987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4C56AB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14:paraId="53909FE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4DC2716E">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2025年4月3日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p>
    <w:p w14:paraId="34C0F13D">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3-1</w:t>
      </w:r>
    </w:p>
    <w:p w14:paraId="14C7AABC">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955"/>
        <w:gridCol w:w="1245"/>
        <w:gridCol w:w="1245"/>
        <w:gridCol w:w="1282"/>
        <w:gridCol w:w="673"/>
        <w:gridCol w:w="873"/>
        <w:gridCol w:w="1418"/>
      </w:tblGrid>
      <w:tr w14:paraId="34F30F03">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14:paraId="23C115BD">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14:paraId="5D9B5DD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业务工作经费</w:t>
            </w:r>
          </w:p>
        </w:tc>
      </w:tr>
      <w:tr w14:paraId="6A2C340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5E3CDD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0"/>
            <w:vAlign w:val="center"/>
          </w:tcPr>
          <w:p w14:paraId="04D9385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湖南省长株潭一体化发展事务中心</w:t>
            </w:r>
          </w:p>
        </w:tc>
        <w:tc>
          <w:tcPr>
            <w:tcW w:w="1282" w:type="dxa"/>
            <w:tcBorders>
              <w:top w:val="single" w:color="auto" w:sz="4" w:space="0"/>
              <w:left w:val="nil"/>
              <w:bottom w:val="single" w:color="auto" w:sz="4" w:space="0"/>
              <w:right w:val="single" w:color="000000" w:sz="4" w:space="0"/>
            </w:tcBorders>
            <w:noWrap w:val="0"/>
            <w:vAlign w:val="center"/>
          </w:tcPr>
          <w:p w14:paraId="2744241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0"/>
            <w:vAlign w:val="center"/>
          </w:tcPr>
          <w:p w14:paraId="1114406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湖南省长株潭一体化发展事务中心</w:t>
            </w:r>
          </w:p>
        </w:tc>
      </w:tr>
      <w:tr w14:paraId="0CB557D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EE69721">
            <w:pPr>
              <w:widowControl/>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4362B00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14:paraId="7F80FDA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01DBDC0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245" w:type="dxa"/>
            <w:tcBorders>
              <w:top w:val="nil"/>
              <w:left w:val="nil"/>
              <w:bottom w:val="single" w:color="auto" w:sz="4" w:space="0"/>
              <w:right w:val="single" w:color="auto" w:sz="4" w:space="0"/>
            </w:tcBorders>
            <w:noWrap w:val="0"/>
            <w:vAlign w:val="center"/>
          </w:tcPr>
          <w:p w14:paraId="2B72F00A">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1282" w:type="dxa"/>
            <w:tcBorders>
              <w:top w:val="nil"/>
              <w:left w:val="nil"/>
              <w:bottom w:val="single" w:color="auto" w:sz="4" w:space="0"/>
              <w:right w:val="single" w:color="auto" w:sz="4" w:space="0"/>
            </w:tcBorders>
            <w:noWrap w:val="0"/>
            <w:vAlign w:val="center"/>
          </w:tcPr>
          <w:p w14:paraId="7EEF6393">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14:paraId="5C5748CF">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72C109F6">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5F3C6D2C">
            <w:pPr>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0C96B4C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36F638">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4B8F996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5" w:type="dxa"/>
            <w:tcBorders>
              <w:top w:val="nil"/>
              <w:left w:val="nil"/>
              <w:bottom w:val="single" w:color="auto" w:sz="4" w:space="0"/>
              <w:right w:val="single" w:color="auto" w:sz="4" w:space="0"/>
            </w:tcBorders>
            <w:noWrap w:val="0"/>
            <w:vAlign w:val="center"/>
          </w:tcPr>
          <w:p w14:paraId="67040429">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208.94</w:t>
            </w:r>
          </w:p>
        </w:tc>
        <w:tc>
          <w:tcPr>
            <w:tcW w:w="1245" w:type="dxa"/>
            <w:tcBorders>
              <w:top w:val="nil"/>
              <w:left w:val="nil"/>
              <w:bottom w:val="single" w:color="auto" w:sz="4" w:space="0"/>
              <w:right w:val="single" w:color="auto" w:sz="4" w:space="0"/>
            </w:tcBorders>
            <w:noWrap w:val="0"/>
            <w:vAlign w:val="center"/>
          </w:tcPr>
          <w:p w14:paraId="745A9EB8">
            <w:pPr>
              <w:widowControl/>
              <w:jc w:val="left"/>
              <w:rPr>
                <w:rFonts w:hint="default"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lang w:val="en-US" w:eastAsia="zh-CN"/>
              </w:rPr>
              <w:t>240.99</w:t>
            </w:r>
          </w:p>
        </w:tc>
        <w:tc>
          <w:tcPr>
            <w:tcW w:w="1282" w:type="dxa"/>
            <w:tcBorders>
              <w:top w:val="nil"/>
              <w:left w:val="nil"/>
              <w:bottom w:val="single" w:color="auto" w:sz="4" w:space="0"/>
              <w:right w:val="single" w:color="auto" w:sz="4" w:space="0"/>
            </w:tcBorders>
            <w:noWrap w:val="0"/>
            <w:vAlign w:val="center"/>
          </w:tcPr>
          <w:p w14:paraId="4D39345F">
            <w:pPr>
              <w:widowControl/>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18</w:t>
            </w:r>
            <w:r>
              <w:rPr>
                <w:rFonts w:hint="eastAsia" w:ascii="Times New Roman" w:hAnsi="Times New Roman" w:eastAsia="仿宋_GB2312" w:cs="Times New Roman"/>
                <w:color w:val="000000"/>
                <w:sz w:val="20"/>
                <w:szCs w:val="20"/>
                <w:highlight w:val="none"/>
                <w:lang w:val="en-US" w:eastAsia="zh-CN"/>
              </w:rPr>
              <w:t>4.49</w:t>
            </w:r>
          </w:p>
        </w:tc>
        <w:tc>
          <w:tcPr>
            <w:tcW w:w="673" w:type="dxa"/>
            <w:tcBorders>
              <w:top w:val="nil"/>
              <w:left w:val="nil"/>
              <w:bottom w:val="single" w:color="auto" w:sz="4" w:space="0"/>
              <w:right w:val="single" w:color="auto" w:sz="4" w:space="0"/>
            </w:tcBorders>
            <w:noWrap w:val="0"/>
            <w:vAlign w:val="center"/>
          </w:tcPr>
          <w:p w14:paraId="221CFA19">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DEA98DB">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76.56%</w:t>
            </w:r>
          </w:p>
        </w:tc>
        <w:tc>
          <w:tcPr>
            <w:tcW w:w="1418" w:type="dxa"/>
            <w:tcBorders>
              <w:top w:val="nil"/>
              <w:left w:val="nil"/>
              <w:bottom w:val="single" w:color="auto" w:sz="4" w:space="0"/>
              <w:right w:val="single" w:color="auto" w:sz="4" w:space="0"/>
            </w:tcBorders>
            <w:noWrap w:val="0"/>
            <w:vAlign w:val="center"/>
          </w:tcPr>
          <w:p w14:paraId="2D821F10">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8</w:t>
            </w:r>
          </w:p>
        </w:tc>
      </w:tr>
      <w:tr w14:paraId="085AEB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00D496">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1AA69E8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5" w:type="dxa"/>
            <w:tcBorders>
              <w:top w:val="nil"/>
              <w:left w:val="nil"/>
              <w:bottom w:val="single" w:color="auto" w:sz="4" w:space="0"/>
              <w:right w:val="single" w:color="auto" w:sz="4" w:space="0"/>
            </w:tcBorders>
            <w:noWrap w:val="0"/>
            <w:vAlign w:val="center"/>
          </w:tcPr>
          <w:p w14:paraId="7594E721">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208.94</w:t>
            </w:r>
          </w:p>
        </w:tc>
        <w:tc>
          <w:tcPr>
            <w:tcW w:w="1245" w:type="dxa"/>
            <w:tcBorders>
              <w:top w:val="nil"/>
              <w:left w:val="nil"/>
              <w:bottom w:val="single" w:color="auto" w:sz="4" w:space="0"/>
              <w:right w:val="single" w:color="auto" w:sz="4" w:space="0"/>
            </w:tcBorders>
            <w:noWrap w:val="0"/>
            <w:vAlign w:val="center"/>
          </w:tcPr>
          <w:p w14:paraId="193618B6">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208.94</w:t>
            </w:r>
          </w:p>
        </w:tc>
        <w:tc>
          <w:tcPr>
            <w:tcW w:w="1282" w:type="dxa"/>
            <w:tcBorders>
              <w:top w:val="nil"/>
              <w:left w:val="nil"/>
              <w:bottom w:val="single" w:color="auto" w:sz="4" w:space="0"/>
              <w:right w:val="single" w:color="auto" w:sz="4" w:space="0"/>
            </w:tcBorders>
            <w:noWrap w:val="0"/>
            <w:vAlign w:val="center"/>
          </w:tcPr>
          <w:p w14:paraId="21660FC5">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673" w:type="dxa"/>
            <w:tcBorders>
              <w:top w:val="nil"/>
              <w:left w:val="nil"/>
              <w:bottom w:val="single" w:color="auto" w:sz="4" w:space="0"/>
              <w:right w:val="single" w:color="auto" w:sz="4" w:space="0"/>
            </w:tcBorders>
            <w:noWrap w:val="0"/>
            <w:vAlign w:val="center"/>
          </w:tcPr>
          <w:p w14:paraId="2B042A86">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D9F2220">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1FA3BBD">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206B33D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C71FA2">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10DEFD15">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5" w:type="dxa"/>
            <w:tcBorders>
              <w:top w:val="nil"/>
              <w:left w:val="nil"/>
              <w:bottom w:val="single" w:color="auto" w:sz="4" w:space="0"/>
              <w:right w:val="single" w:color="auto" w:sz="4" w:space="0"/>
            </w:tcBorders>
            <w:noWrap w:val="0"/>
            <w:vAlign w:val="center"/>
          </w:tcPr>
          <w:p w14:paraId="4D518260">
            <w:pPr>
              <w:widowControl/>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c>
          <w:tcPr>
            <w:tcW w:w="1245" w:type="dxa"/>
            <w:tcBorders>
              <w:top w:val="nil"/>
              <w:left w:val="nil"/>
              <w:bottom w:val="single" w:color="auto" w:sz="4" w:space="0"/>
              <w:right w:val="single" w:color="auto" w:sz="4" w:space="0"/>
            </w:tcBorders>
            <w:noWrap w:val="0"/>
            <w:vAlign w:val="center"/>
          </w:tcPr>
          <w:p w14:paraId="5A5B73C9">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32.05</w:t>
            </w:r>
          </w:p>
        </w:tc>
        <w:tc>
          <w:tcPr>
            <w:tcW w:w="1282" w:type="dxa"/>
            <w:tcBorders>
              <w:top w:val="nil"/>
              <w:left w:val="nil"/>
              <w:bottom w:val="single" w:color="auto" w:sz="4" w:space="0"/>
              <w:right w:val="single" w:color="auto" w:sz="4" w:space="0"/>
            </w:tcBorders>
            <w:noWrap w:val="0"/>
            <w:vAlign w:val="center"/>
          </w:tcPr>
          <w:p w14:paraId="14E0347C">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673" w:type="dxa"/>
            <w:tcBorders>
              <w:top w:val="nil"/>
              <w:left w:val="nil"/>
              <w:bottom w:val="single" w:color="auto" w:sz="4" w:space="0"/>
              <w:right w:val="single" w:color="auto" w:sz="4" w:space="0"/>
            </w:tcBorders>
            <w:noWrap w:val="0"/>
            <w:vAlign w:val="center"/>
          </w:tcPr>
          <w:p w14:paraId="603D60B6">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999B58E">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E66ED0">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1B239F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920727">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56E5EE7D">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5" w:type="dxa"/>
            <w:tcBorders>
              <w:top w:val="nil"/>
              <w:left w:val="nil"/>
              <w:bottom w:val="single" w:color="auto" w:sz="4" w:space="0"/>
              <w:right w:val="single" w:color="auto" w:sz="4" w:space="0"/>
            </w:tcBorders>
            <w:noWrap w:val="0"/>
            <w:vAlign w:val="center"/>
          </w:tcPr>
          <w:p w14:paraId="74AB12C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1795DFF1">
            <w:pPr>
              <w:widowControl/>
              <w:jc w:val="left"/>
              <w:rPr>
                <w:rFonts w:hint="eastAsia" w:ascii="Times New Roman" w:hAnsi="Times New Roman" w:eastAsia="仿宋_GB2312" w:cs="Times New Roman"/>
                <w:color w:val="000000"/>
                <w:sz w:val="20"/>
                <w:szCs w:val="20"/>
                <w:lang w:val="en-US" w:eastAsia="zh-CN"/>
              </w:rPr>
            </w:pPr>
          </w:p>
        </w:tc>
        <w:tc>
          <w:tcPr>
            <w:tcW w:w="1282" w:type="dxa"/>
            <w:tcBorders>
              <w:top w:val="nil"/>
              <w:left w:val="nil"/>
              <w:bottom w:val="single" w:color="auto" w:sz="4" w:space="0"/>
              <w:right w:val="single" w:color="auto" w:sz="4" w:space="0"/>
            </w:tcBorders>
            <w:noWrap w:val="0"/>
            <w:vAlign w:val="center"/>
          </w:tcPr>
          <w:p w14:paraId="6250EAB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14:paraId="43AAE29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480180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EDBD82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F600EE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E2805C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0"/>
            <w:vAlign w:val="center"/>
          </w:tcPr>
          <w:p w14:paraId="6619CF4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14:paraId="57CB407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w:t>
            </w:r>
          </w:p>
        </w:tc>
      </w:tr>
      <w:tr w14:paraId="3F796214">
        <w:tblPrEx>
          <w:tblCellMar>
            <w:top w:w="0" w:type="dxa"/>
            <w:left w:w="108" w:type="dxa"/>
            <w:bottom w:w="0" w:type="dxa"/>
            <w:right w:w="108" w:type="dxa"/>
          </w:tblCellMar>
        </w:tblPrEx>
        <w:trPr>
          <w:trHeight w:val="197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B2C362">
            <w:pPr>
              <w:widowControl/>
              <w:jc w:val="left"/>
              <w:rPr>
                <w:rFonts w:hint="default" w:ascii="Times New Roman" w:hAnsi="Times New Roman" w:eastAsia="仿宋_GB2312" w:cs="Times New Roman"/>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0"/>
            <w:vAlign w:val="center"/>
          </w:tcPr>
          <w:p w14:paraId="2FCB50F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加快推进长株潭一体化建设，带动全省高质量发展。</w:t>
            </w:r>
          </w:p>
        </w:tc>
        <w:tc>
          <w:tcPr>
            <w:tcW w:w="4246" w:type="dxa"/>
            <w:gridSpan w:val="4"/>
            <w:tcBorders>
              <w:top w:val="single" w:color="auto" w:sz="4" w:space="0"/>
              <w:left w:val="nil"/>
              <w:bottom w:val="single" w:color="auto" w:sz="4" w:space="0"/>
              <w:right w:val="single" w:color="auto" w:sz="4" w:space="0"/>
            </w:tcBorders>
            <w:noWrap w:val="0"/>
            <w:vAlign w:val="center"/>
          </w:tcPr>
          <w:p w14:paraId="6A4DA70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负责长株潭一体化重点任务调度通报和绩效考核等事务性工作。承担推进长株潭一体化发展重大项目的事务性、服务性工作。承担长株潭一体化发展相关信息发布、宣传推介、对外合作交流和教育培训等工作。加快推进长株潭一体化建设，带动全省高质量发展。</w:t>
            </w:r>
          </w:p>
        </w:tc>
      </w:tr>
      <w:tr w14:paraId="62F62A7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1A29A6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53BF9EA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36DE5E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25C95BB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525834F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955" w:type="dxa"/>
            <w:tcBorders>
              <w:top w:val="nil"/>
              <w:left w:val="nil"/>
              <w:bottom w:val="single" w:color="auto" w:sz="4" w:space="0"/>
              <w:right w:val="single" w:color="auto" w:sz="4" w:space="0"/>
            </w:tcBorders>
            <w:noWrap w:val="0"/>
            <w:vAlign w:val="center"/>
          </w:tcPr>
          <w:p w14:paraId="49A5AFE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5" w:type="dxa"/>
            <w:tcBorders>
              <w:top w:val="nil"/>
              <w:left w:val="nil"/>
              <w:bottom w:val="single" w:color="auto" w:sz="4" w:space="0"/>
              <w:right w:val="single" w:color="auto" w:sz="4" w:space="0"/>
            </w:tcBorders>
            <w:noWrap w:val="0"/>
            <w:vAlign w:val="center"/>
          </w:tcPr>
          <w:p w14:paraId="42342C8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45" w:type="dxa"/>
            <w:tcBorders>
              <w:top w:val="nil"/>
              <w:left w:val="nil"/>
              <w:bottom w:val="single" w:color="auto" w:sz="4" w:space="0"/>
              <w:right w:val="single" w:color="auto" w:sz="4" w:space="0"/>
            </w:tcBorders>
            <w:noWrap w:val="0"/>
            <w:vAlign w:val="center"/>
          </w:tcPr>
          <w:p w14:paraId="10AF67C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150E451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82" w:type="dxa"/>
            <w:tcBorders>
              <w:top w:val="nil"/>
              <w:left w:val="nil"/>
              <w:bottom w:val="single" w:color="auto" w:sz="4" w:space="0"/>
              <w:right w:val="single" w:color="auto" w:sz="4" w:space="0"/>
            </w:tcBorders>
            <w:noWrap w:val="0"/>
            <w:vAlign w:val="center"/>
          </w:tcPr>
          <w:p w14:paraId="2CEE07D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6D997F7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73" w:type="dxa"/>
            <w:tcBorders>
              <w:top w:val="nil"/>
              <w:left w:val="nil"/>
              <w:bottom w:val="single" w:color="auto" w:sz="4" w:space="0"/>
              <w:right w:val="single" w:color="auto" w:sz="4" w:space="0"/>
            </w:tcBorders>
            <w:noWrap w:val="0"/>
            <w:vAlign w:val="center"/>
          </w:tcPr>
          <w:p w14:paraId="29DFD7D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5EAA6FE5">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18" w:type="dxa"/>
            <w:tcBorders>
              <w:top w:val="nil"/>
              <w:left w:val="nil"/>
              <w:bottom w:val="single" w:color="auto" w:sz="4" w:space="0"/>
              <w:right w:val="single" w:color="auto" w:sz="4" w:space="0"/>
            </w:tcBorders>
            <w:noWrap w:val="0"/>
            <w:vAlign w:val="center"/>
          </w:tcPr>
          <w:p w14:paraId="3B7B15B9">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4363F57">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485A78C4">
            <w:pPr>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395BEC3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23A069C2">
            <w:pPr>
              <w:widowControl/>
              <w:jc w:val="center"/>
              <w:rPr>
                <w:rFonts w:hint="default" w:ascii="Times New Roman" w:hAnsi="Times New Roman" w:eastAsia="仿宋_GB2312" w:cs="Times New Roman"/>
                <w:color w:val="000000"/>
                <w:sz w:val="20"/>
                <w:szCs w:val="20"/>
              </w:rPr>
            </w:pPr>
          </w:p>
          <w:p w14:paraId="775A85F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955" w:type="dxa"/>
            <w:tcBorders>
              <w:top w:val="nil"/>
              <w:left w:val="nil"/>
              <w:bottom w:val="single" w:color="auto" w:sz="4" w:space="0"/>
              <w:right w:val="single" w:color="auto" w:sz="4" w:space="0"/>
            </w:tcBorders>
            <w:noWrap w:val="0"/>
            <w:vAlign w:val="center"/>
          </w:tcPr>
          <w:p w14:paraId="4AA0DCE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5" w:type="dxa"/>
            <w:tcBorders>
              <w:top w:val="nil"/>
              <w:left w:val="nil"/>
              <w:bottom w:val="single" w:color="auto" w:sz="4" w:space="0"/>
              <w:right w:val="single" w:color="auto" w:sz="4" w:space="0"/>
            </w:tcBorders>
            <w:noWrap w:val="0"/>
            <w:vAlign w:val="center"/>
          </w:tcPr>
          <w:p w14:paraId="5770FB2E">
            <w:pPr>
              <w:widowControl/>
              <w:jc w:val="left"/>
              <w:rPr>
                <w:rFonts w:hint="eastAsia" w:ascii="Times New Roman" w:hAnsi="Times New Roman" w:eastAsia="仿宋_GB2312" w:cs="Times New Roman"/>
                <w:color w:val="000000"/>
                <w:sz w:val="20"/>
                <w:szCs w:val="20"/>
                <w:highlight w:val="yellow"/>
                <w:lang w:eastAsia="zh-CN"/>
              </w:rPr>
            </w:pPr>
            <w:r>
              <w:rPr>
                <w:rFonts w:hint="eastAsia" w:ascii="Times New Roman" w:hAnsi="Times New Roman" w:eastAsia="仿宋_GB2312" w:cs="Times New Roman"/>
                <w:color w:val="000000"/>
                <w:sz w:val="20"/>
                <w:szCs w:val="20"/>
                <w:lang w:eastAsia="zh-CN"/>
              </w:rPr>
              <w:t>年度任务</w:t>
            </w:r>
          </w:p>
        </w:tc>
        <w:tc>
          <w:tcPr>
            <w:tcW w:w="1245" w:type="dxa"/>
            <w:tcBorders>
              <w:top w:val="nil"/>
              <w:left w:val="nil"/>
              <w:bottom w:val="single" w:color="auto" w:sz="4" w:space="0"/>
              <w:right w:val="single" w:color="auto" w:sz="4" w:space="0"/>
            </w:tcBorders>
            <w:noWrap w:val="0"/>
            <w:vAlign w:val="center"/>
          </w:tcPr>
          <w:p w14:paraId="51728775">
            <w:pPr>
              <w:widowControl/>
              <w:jc w:val="left"/>
              <w:rPr>
                <w:rFonts w:hint="eastAsia" w:ascii="Times New Roman" w:hAnsi="Times New Roman" w:eastAsia="仿宋_GB2312" w:cs="Times New Roman"/>
                <w:color w:val="000000"/>
                <w:sz w:val="20"/>
                <w:szCs w:val="20"/>
                <w:highlight w:val="yellow"/>
                <w:lang w:eastAsia="zh-CN"/>
              </w:rPr>
            </w:pPr>
            <w:r>
              <w:rPr>
                <w:rFonts w:hint="default" w:ascii="Times New Roman" w:hAnsi="Times New Roman" w:eastAsia="仿宋_GB2312" w:cs="Times New Roman"/>
                <w:color w:val="000000"/>
                <w:sz w:val="20"/>
                <w:szCs w:val="20"/>
                <w:highlight w:val="none"/>
              </w:rPr>
              <w:t>年度内完成各项任务</w:t>
            </w:r>
            <w:r>
              <w:rPr>
                <w:rFonts w:hint="eastAsia" w:ascii="Times New Roman" w:hAnsi="Times New Roman" w:eastAsia="仿宋_GB2312" w:cs="Times New Roman"/>
                <w:color w:val="000000"/>
                <w:sz w:val="20"/>
                <w:szCs w:val="20"/>
                <w:highlight w:val="none"/>
                <w:lang w:eastAsia="zh-CN"/>
              </w:rPr>
              <w:t>。</w:t>
            </w:r>
          </w:p>
        </w:tc>
        <w:tc>
          <w:tcPr>
            <w:tcW w:w="1282" w:type="dxa"/>
            <w:tcBorders>
              <w:top w:val="nil"/>
              <w:left w:val="nil"/>
              <w:bottom w:val="single" w:color="auto" w:sz="4" w:space="0"/>
              <w:right w:val="single" w:color="auto" w:sz="4" w:space="0"/>
            </w:tcBorders>
            <w:noWrap w:val="0"/>
            <w:vAlign w:val="center"/>
          </w:tcPr>
          <w:p w14:paraId="2A97F6C5">
            <w:pPr>
              <w:widowControl/>
              <w:jc w:val="left"/>
              <w:rPr>
                <w:rFonts w:hint="default"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364423B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FFA31A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2E43C2">
            <w:pPr>
              <w:widowControl/>
              <w:jc w:val="left"/>
              <w:rPr>
                <w:rFonts w:hint="default" w:ascii="Times New Roman" w:hAnsi="Times New Roman" w:eastAsia="仿宋_GB2312" w:cs="Times New Roman"/>
                <w:color w:val="000000"/>
                <w:sz w:val="20"/>
                <w:szCs w:val="20"/>
                <w:highlight w:val="yellow"/>
              </w:rPr>
            </w:pPr>
          </w:p>
        </w:tc>
      </w:tr>
      <w:tr w14:paraId="4CA344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3322F8">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EAFE82B">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16555F9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5" w:type="dxa"/>
            <w:tcBorders>
              <w:top w:val="single" w:color="auto" w:sz="4" w:space="0"/>
              <w:left w:val="nil"/>
              <w:bottom w:val="single" w:color="auto" w:sz="4" w:space="0"/>
              <w:right w:val="single" w:color="auto" w:sz="4" w:space="0"/>
            </w:tcBorders>
            <w:noWrap w:val="0"/>
            <w:vAlign w:val="center"/>
          </w:tcPr>
          <w:p w14:paraId="7319DCC0">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管理</w:t>
            </w:r>
            <w:r>
              <w:rPr>
                <w:rFonts w:hint="eastAsia" w:ascii="Times New Roman" w:hAnsi="Times New Roman" w:eastAsia="仿宋_GB2312" w:cs="Times New Roman"/>
                <w:color w:val="000000"/>
                <w:sz w:val="20"/>
                <w:szCs w:val="20"/>
                <w:lang w:eastAsia="zh-CN"/>
              </w:rPr>
              <w:t>规范</w:t>
            </w:r>
          </w:p>
        </w:tc>
        <w:tc>
          <w:tcPr>
            <w:tcW w:w="1245" w:type="dxa"/>
            <w:tcBorders>
              <w:top w:val="nil"/>
              <w:left w:val="nil"/>
              <w:bottom w:val="single" w:color="auto" w:sz="4" w:space="0"/>
              <w:right w:val="single" w:color="auto" w:sz="4" w:space="0"/>
            </w:tcBorders>
            <w:noWrap w:val="0"/>
            <w:vAlign w:val="center"/>
          </w:tcPr>
          <w:p w14:paraId="669FABF4">
            <w:pPr>
              <w:widowControl/>
              <w:jc w:val="left"/>
              <w:rPr>
                <w:rFonts w:hint="default"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lang w:eastAsia="zh-CN"/>
              </w:rPr>
              <w:t>管理制度</w:t>
            </w:r>
            <w:r>
              <w:rPr>
                <w:rFonts w:hint="default" w:ascii="Times New Roman" w:hAnsi="Times New Roman" w:eastAsia="仿宋_GB2312" w:cs="Times New Roman"/>
                <w:color w:val="000000"/>
                <w:sz w:val="20"/>
                <w:szCs w:val="20"/>
                <w:lang w:eastAsia="zh-CN"/>
              </w:rPr>
              <w:t>得到</w:t>
            </w:r>
            <w:r>
              <w:rPr>
                <w:rFonts w:hint="default" w:ascii="Times New Roman" w:hAnsi="Times New Roman" w:eastAsia="仿宋_GB2312" w:cs="Times New Roman"/>
                <w:color w:val="000000"/>
                <w:sz w:val="20"/>
                <w:szCs w:val="20"/>
                <w:highlight w:val="none"/>
                <w:lang w:eastAsia="zh-CN"/>
              </w:rPr>
              <w:t>有效执行</w:t>
            </w:r>
            <w:r>
              <w:rPr>
                <w:rFonts w:hint="default" w:ascii="Times New Roman" w:hAnsi="Times New Roman" w:eastAsia="仿宋_GB2312" w:cs="Times New Roman"/>
                <w:color w:val="000000"/>
                <w:sz w:val="20"/>
                <w:szCs w:val="20"/>
                <w:highlight w:val="none"/>
              </w:rPr>
              <w:t>。</w:t>
            </w:r>
          </w:p>
        </w:tc>
        <w:tc>
          <w:tcPr>
            <w:tcW w:w="1282" w:type="dxa"/>
            <w:tcBorders>
              <w:top w:val="nil"/>
              <w:left w:val="nil"/>
              <w:bottom w:val="single" w:color="auto" w:sz="4" w:space="0"/>
              <w:right w:val="single" w:color="auto" w:sz="4" w:space="0"/>
            </w:tcBorders>
            <w:noWrap w:val="0"/>
            <w:vAlign w:val="center"/>
          </w:tcPr>
          <w:p w14:paraId="3D8C14B9">
            <w:pPr>
              <w:widowControl/>
              <w:jc w:val="left"/>
              <w:rPr>
                <w:rFonts w:hint="default"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48423E6B">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9738C5C">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97BAAB5">
            <w:pPr>
              <w:widowControl/>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r>
      <w:tr w14:paraId="005D0C8A">
        <w:tblPrEx>
          <w:tblCellMar>
            <w:top w:w="0" w:type="dxa"/>
            <w:left w:w="108" w:type="dxa"/>
            <w:bottom w:w="0" w:type="dxa"/>
            <w:right w:w="108" w:type="dxa"/>
          </w:tblCellMar>
        </w:tblPrEx>
        <w:trPr>
          <w:trHeight w:val="718" w:hRule="atLeast"/>
          <w:jc w:val="center"/>
        </w:trPr>
        <w:tc>
          <w:tcPr>
            <w:tcW w:w="1080" w:type="dxa"/>
            <w:vMerge w:val="continue"/>
            <w:tcBorders>
              <w:left w:val="single" w:color="auto" w:sz="4" w:space="0"/>
              <w:right w:val="single" w:color="auto" w:sz="4" w:space="0"/>
            </w:tcBorders>
            <w:noWrap w:val="0"/>
            <w:vAlign w:val="center"/>
          </w:tcPr>
          <w:p w14:paraId="1689CCAD">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D220915">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14C751C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5" w:type="dxa"/>
            <w:tcBorders>
              <w:top w:val="single" w:color="auto" w:sz="4" w:space="0"/>
              <w:left w:val="nil"/>
              <w:bottom w:val="single" w:color="auto" w:sz="4" w:space="0"/>
              <w:right w:val="single" w:color="auto" w:sz="4" w:space="0"/>
            </w:tcBorders>
            <w:noWrap w:val="0"/>
            <w:vAlign w:val="center"/>
          </w:tcPr>
          <w:p w14:paraId="437FE059">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年度按时完成</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9E00F5">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202</w:t>
            </w:r>
            <w:r>
              <w:rPr>
                <w:rFonts w:hint="eastAsia" w:ascii="Times New Roman" w:hAnsi="Times New Roman" w:eastAsia="仿宋_GB2312" w:cs="Times New Roman"/>
                <w:color w:val="000000"/>
                <w:sz w:val="20"/>
                <w:szCs w:val="20"/>
                <w:highlight w:val="none"/>
                <w:lang w:val="en-US" w:eastAsia="zh-CN"/>
              </w:rPr>
              <w:t>4</w:t>
            </w:r>
            <w:r>
              <w:rPr>
                <w:rFonts w:hint="default" w:ascii="Times New Roman" w:hAnsi="Times New Roman" w:eastAsia="仿宋_GB2312" w:cs="Times New Roman"/>
                <w:color w:val="000000"/>
                <w:sz w:val="20"/>
                <w:szCs w:val="20"/>
                <w:highlight w:val="none"/>
              </w:rPr>
              <w:t>年底前完成。</w:t>
            </w:r>
          </w:p>
        </w:tc>
        <w:tc>
          <w:tcPr>
            <w:tcW w:w="1282" w:type="dxa"/>
            <w:tcBorders>
              <w:top w:val="single" w:color="auto" w:sz="4" w:space="0"/>
              <w:left w:val="nil"/>
              <w:bottom w:val="single" w:color="auto" w:sz="4" w:space="0"/>
              <w:right w:val="single" w:color="auto" w:sz="4" w:space="0"/>
            </w:tcBorders>
            <w:noWrap w:val="0"/>
            <w:vAlign w:val="center"/>
          </w:tcPr>
          <w:p w14:paraId="1AFE73DA">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202</w:t>
            </w:r>
            <w:r>
              <w:rPr>
                <w:rFonts w:hint="eastAsia" w:ascii="Times New Roman" w:hAnsi="Times New Roman" w:eastAsia="仿宋_GB2312" w:cs="Times New Roman"/>
                <w:color w:val="000000"/>
                <w:sz w:val="20"/>
                <w:szCs w:val="20"/>
                <w:highlight w:val="none"/>
                <w:lang w:val="en-US" w:eastAsia="zh-CN"/>
              </w:rPr>
              <w:t>4</w:t>
            </w:r>
            <w:r>
              <w:rPr>
                <w:rFonts w:hint="default" w:ascii="Times New Roman" w:hAnsi="Times New Roman" w:eastAsia="仿宋_GB2312" w:cs="Times New Roman"/>
                <w:color w:val="000000"/>
                <w:sz w:val="20"/>
                <w:szCs w:val="20"/>
                <w:highlight w:val="none"/>
              </w:rPr>
              <w:t>年底前完成。</w:t>
            </w:r>
          </w:p>
        </w:tc>
        <w:tc>
          <w:tcPr>
            <w:tcW w:w="673" w:type="dxa"/>
            <w:tcBorders>
              <w:top w:val="single" w:color="auto" w:sz="4" w:space="0"/>
              <w:left w:val="nil"/>
              <w:bottom w:val="single" w:color="auto" w:sz="4" w:space="0"/>
              <w:right w:val="single" w:color="auto" w:sz="4" w:space="0"/>
            </w:tcBorders>
            <w:noWrap w:val="0"/>
            <w:vAlign w:val="center"/>
          </w:tcPr>
          <w:p w14:paraId="77D9C34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52F445D0">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441E7BD5">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2504A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A49632">
            <w:pPr>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7F6F4843">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5D9F61A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5" w:type="dxa"/>
            <w:tcBorders>
              <w:top w:val="nil"/>
              <w:left w:val="nil"/>
              <w:bottom w:val="single" w:color="auto" w:sz="4" w:space="0"/>
              <w:right w:val="single" w:color="auto" w:sz="4" w:space="0"/>
            </w:tcBorders>
            <w:noWrap w:val="0"/>
            <w:vAlign w:val="center"/>
          </w:tcPr>
          <w:p w14:paraId="5BBE8450">
            <w:pPr>
              <w:widowControl/>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成本控制</w:t>
            </w:r>
          </w:p>
        </w:tc>
        <w:tc>
          <w:tcPr>
            <w:tcW w:w="1245" w:type="dxa"/>
            <w:tcBorders>
              <w:top w:val="single" w:color="auto" w:sz="4" w:space="0"/>
              <w:left w:val="nil"/>
              <w:bottom w:val="single" w:color="auto" w:sz="4" w:space="0"/>
              <w:right w:val="single" w:color="auto" w:sz="4" w:space="0"/>
            </w:tcBorders>
            <w:noWrap w:val="0"/>
            <w:vAlign w:val="center"/>
          </w:tcPr>
          <w:p w14:paraId="0BF7EC26">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项目经费预算执行不超全年预算。</w:t>
            </w:r>
          </w:p>
        </w:tc>
        <w:tc>
          <w:tcPr>
            <w:tcW w:w="1282" w:type="dxa"/>
            <w:tcBorders>
              <w:top w:val="single" w:color="auto" w:sz="4" w:space="0"/>
              <w:left w:val="nil"/>
              <w:bottom w:val="single" w:color="auto" w:sz="4" w:space="0"/>
              <w:right w:val="single" w:color="auto" w:sz="4" w:space="0"/>
            </w:tcBorders>
            <w:noWrap w:val="0"/>
            <w:vAlign w:val="center"/>
          </w:tcPr>
          <w:p w14:paraId="070FE56E">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76.56%</w:t>
            </w:r>
          </w:p>
        </w:tc>
        <w:tc>
          <w:tcPr>
            <w:tcW w:w="673" w:type="dxa"/>
            <w:tcBorders>
              <w:top w:val="single" w:color="auto" w:sz="4" w:space="0"/>
              <w:left w:val="nil"/>
              <w:bottom w:val="single" w:color="auto" w:sz="4" w:space="0"/>
              <w:right w:val="single" w:color="auto" w:sz="4" w:space="0"/>
            </w:tcBorders>
            <w:noWrap w:val="0"/>
            <w:vAlign w:val="center"/>
          </w:tcPr>
          <w:p w14:paraId="6EFDCF56">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2F0E0B87">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1E34C3D8">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ABF2253">
        <w:tblPrEx>
          <w:tblCellMar>
            <w:top w:w="0" w:type="dxa"/>
            <w:left w:w="108" w:type="dxa"/>
            <w:bottom w:w="0" w:type="dxa"/>
            <w:right w:w="108" w:type="dxa"/>
          </w:tblCellMar>
        </w:tblPrEx>
        <w:trPr>
          <w:trHeight w:val="1704" w:hRule="atLeast"/>
          <w:jc w:val="center"/>
        </w:trPr>
        <w:tc>
          <w:tcPr>
            <w:tcW w:w="1080" w:type="dxa"/>
            <w:vMerge w:val="continue"/>
            <w:tcBorders>
              <w:left w:val="single" w:color="auto" w:sz="4" w:space="0"/>
              <w:right w:val="single" w:color="auto" w:sz="4" w:space="0"/>
            </w:tcBorders>
            <w:noWrap w:val="0"/>
            <w:vAlign w:val="center"/>
          </w:tcPr>
          <w:p w14:paraId="13D1101C">
            <w:pPr>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6DA70E1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22D98EA8">
            <w:pPr>
              <w:widowControl/>
              <w:jc w:val="left"/>
              <w:rPr>
                <w:rFonts w:hint="default" w:ascii="Times New Roman" w:hAnsi="Times New Roman" w:eastAsia="仿宋_GB2312" w:cs="Times New Roman"/>
                <w:color w:val="000000"/>
                <w:sz w:val="20"/>
                <w:szCs w:val="20"/>
              </w:rPr>
            </w:pPr>
          </w:p>
          <w:p w14:paraId="1E705FA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7D66F33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55" w:type="dxa"/>
            <w:tcBorders>
              <w:top w:val="single" w:color="auto" w:sz="4" w:space="0"/>
              <w:left w:val="nil"/>
              <w:bottom w:val="single" w:color="auto" w:sz="4" w:space="0"/>
              <w:right w:val="single" w:color="auto" w:sz="4" w:space="0"/>
            </w:tcBorders>
            <w:noWrap w:val="0"/>
            <w:vAlign w:val="center"/>
          </w:tcPr>
          <w:p w14:paraId="4313596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763AAF1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shd w:val="clear" w:color="auto" w:fill="auto"/>
            <w:noWrap w:val="0"/>
            <w:vAlign w:val="center"/>
          </w:tcPr>
          <w:p w14:paraId="151D399E">
            <w:pPr>
              <w:widowControl/>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项目建设</w:t>
            </w:r>
          </w:p>
        </w:tc>
        <w:tc>
          <w:tcPr>
            <w:tcW w:w="1245" w:type="dxa"/>
            <w:tcBorders>
              <w:top w:val="nil"/>
              <w:left w:val="nil"/>
              <w:bottom w:val="single" w:color="auto" w:sz="4" w:space="0"/>
              <w:right w:val="single" w:color="auto" w:sz="4" w:space="0"/>
            </w:tcBorders>
            <w:shd w:val="clear" w:color="auto" w:fill="auto"/>
            <w:noWrap w:val="0"/>
            <w:vAlign w:val="center"/>
          </w:tcPr>
          <w:p w14:paraId="7D345984">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推动长株潭产业协同发展、重大项目建设效果良好</w:t>
            </w:r>
            <w:r>
              <w:rPr>
                <w:rFonts w:hint="eastAsia" w:ascii="Times New Roman" w:hAnsi="Times New Roman" w:eastAsia="仿宋_GB2312" w:cs="Times New Roman"/>
                <w:color w:val="000000"/>
                <w:sz w:val="20"/>
                <w:szCs w:val="20"/>
                <w:highlight w:val="none"/>
                <w:lang w:eastAsia="zh-CN"/>
              </w:rPr>
              <w:t>。</w:t>
            </w:r>
          </w:p>
        </w:tc>
        <w:tc>
          <w:tcPr>
            <w:tcW w:w="1282" w:type="dxa"/>
            <w:tcBorders>
              <w:top w:val="nil"/>
              <w:left w:val="nil"/>
              <w:bottom w:val="single" w:color="auto" w:sz="4" w:space="0"/>
              <w:right w:val="single" w:color="auto" w:sz="4" w:space="0"/>
            </w:tcBorders>
            <w:shd w:val="clear" w:color="auto" w:fill="auto"/>
            <w:noWrap w:val="0"/>
            <w:vAlign w:val="center"/>
          </w:tcPr>
          <w:p w14:paraId="136C7108">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0C627574">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nil"/>
              <w:left w:val="nil"/>
              <w:bottom w:val="single" w:color="auto" w:sz="4" w:space="0"/>
              <w:right w:val="single" w:color="auto" w:sz="4" w:space="0"/>
            </w:tcBorders>
            <w:noWrap w:val="0"/>
            <w:vAlign w:val="center"/>
          </w:tcPr>
          <w:p w14:paraId="22A78D41">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nil"/>
              <w:left w:val="nil"/>
              <w:bottom w:val="single" w:color="auto" w:sz="4" w:space="0"/>
              <w:right w:val="single" w:color="auto" w:sz="4" w:space="0"/>
            </w:tcBorders>
            <w:noWrap w:val="0"/>
            <w:vAlign w:val="center"/>
          </w:tcPr>
          <w:p w14:paraId="7FE5E33D">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87583D6">
        <w:tblPrEx>
          <w:tblCellMar>
            <w:top w:w="0" w:type="dxa"/>
            <w:left w:w="108" w:type="dxa"/>
            <w:bottom w:w="0" w:type="dxa"/>
            <w:right w:w="108" w:type="dxa"/>
          </w:tblCellMar>
        </w:tblPrEx>
        <w:trPr>
          <w:trHeight w:val="1653" w:hRule="atLeast"/>
          <w:jc w:val="center"/>
        </w:trPr>
        <w:tc>
          <w:tcPr>
            <w:tcW w:w="1080" w:type="dxa"/>
            <w:vMerge w:val="continue"/>
            <w:tcBorders>
              <w:left w:val="single" w:color="auto" w:sz="4" w:space="0"/>
              <w:right w:val="single" w:color="auto" w:sz="4" w:space="0"/>
            </w:tcBorders>
            <w:noWrap w:val="0"/>
            <w:vAlign w:val="center"/>
          </w:tcPr>
          <w:p w14:paraId="47338218">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976F64E">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009FE6D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2EAC57B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0779FB91">
            <w:pPr>
              <w:widowControl/>
              <w:jc w:val="left"/>
              <w:rPr>
                <w:rFonts w:hint="eastAsia" w:ascii="Times New Roman" w:hAnsi="Times New Roman" w:eastAsia="仿宋_GB2312" w:cs="Times New Roman"/>
                <w:color w:val="000000"/>
                <w:sz w:val="20"/>
                <w:szCs w:val="20"/>
                <w:highlight w:val="yellow"/>
                <w:lang w:eastAsia="zh-CN"/>
              </w:rPr>
            </w:pPr>
            <w:r>
              <w:rPr>
                <w:rFonts w:hint="eastAsia" w:ascii="Times New Roman" w:hAnsi="Times New Roman" w:eastAsia="仿宋_GB2312" w:cs="Times New Roman"/>
                <w:color w:val="000000"/>
                <w:sz w:val="20"/>
                <w:szCs w:val="20"/>
                <w:lang w:eastAsia="zh-CN"/>
              </w:rPr>
              <w:t>公共服务</w:t>
            </w:r>
          </w:p>
        </w:tc>
        <w:tc>
          <w:tcPr>
            <w:tcW w:w="1245" w:type="dxa"/>
            <w:tcBorders>
              <w:top w:val="nil"/>
              <w:left w:val="nil"/>
              <w:bottom w:val="single" w:color="auto" w:sz="4" w:space="0"/>
              <w:right w:val="single" w:color="auto" w:sz="4" w:space="0"/>
            </w:tcBorders>
            <w:noWrap w:val="0"/>
            <w:vAlign w:val="center"/>
          </w:tcPr>
          <w:p w14:paraId="0F82C6C2">
            <w:pPr>
              <w:widowControl/>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推动长株潭公共服务建设、基础设施建设效果良好</w:t>
            </w:r>
            <w:r>
              <w:rPr>
                <w:rFonts w:hint="eastAsia" w:ascii="Times New Roman" w:hAnsi="Times New Roman" w:eastAsia="仿宋_GB2312" w:cs="Times New Roman"/>
                <w:color w:val="000000"/>
                <w:sz w:val="20"/>
                <w:szCs w:val="20"/>
                <w:highlight w:val="none"/>
                <w:lang w:eastAsia="zh-CN"/>
              </w:rPr>
              <w:t>。</w:t>
            </w:r>
          </w:p>
        </w:tc>
        <w:tc>
          <w:tcPr>
            <w:tcW w:w="1282" w:type="dxa"/>
            <w:tcBorders>
              <w:top w:val="nil"/>
              <w:left w:val="nil"/>
              <w:bottom w:val="single" w:color="auto" w:sz="4" w:space="0"/>
              <w:right w:val="single" w:color="auto" w:sz="4" w:space="0"/>
            </w:tcBorders>
            <w:noWrap w:val="0"/>
            <w:vAlign w:val="center"/>
          </w:tcPr>
          <w:p w14:paraId="7DD2D251">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6812E60A">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nil"/>
              <w:left w:val="nil"/>
              <w:bottom w:val="single" w:color="auto" w:sz="4" w:space="0"/>
              <w:right w:val="single" w:color="auto" w:sz="4" w:space="0"/>
            </w:tcBorders>
            <w:noWrap w:val="0"/>
            <w:vAlign w:val="center"/>
          </w:tcPr>
          <w:p w14:paraId="6C19E162">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nil"/>
              <w:left w:val="nil"/>
              <w:bottom w:val="single" w:color="auto" w:sz="4" w:space="0"/>
              <w:right w:val="single" w:color="auto" w:sz="4" w:space="0"/>
            </w:tcBorders>
            <w:noWrap w:val="0"/>
            <w:vAlign w:val="center"/>
          </w:tcPr>
          <w:p w14:paraId="30853E21">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C6051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A768AD">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87D1F0B">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right w:val="single" w:color="auto" w:sz="4" w:space="0"/>
            </w:tcBorders>
            <w:noWrap w:val="0"/>
            <w:vAlign w:val="center"/>
          </w:tcPr>
          <w:p w14:paraId="7621DF9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3E761A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8F994F">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eastAsia="zh-CN"/>
              </w:rPr>
              <w:t>绿心保护</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96D43">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推动长株潭生态保护</w:t>
            </w:r>
            <w:r>
              <w:rPr>
                <w:rFonts w:hint="eastAsia" w:ascii="Times New Roman" w:hAnsi="Times New Roman" w:eastAsia="仿宋_GB2312" w:cs="Times New Roman"/>
                <w:color w:val="000000"/>
                <w:sz w:val="20"/>
                <w:szCs w:val="20"/>
                <w:highlight w:val="none"/>
                <w:lang w:eastAsia="zh-CN"/>
              </w:rPr>
              <w:t>持续加强。</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6E199">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0856BCF">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BCD17A">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B667C6">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200F91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89709A">
            <w:pPr>
              <w:widowControl/>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30C31887">
            <w:pPr>
              <w:widowControl/>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7249C7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11A86">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宣传</w:t>
            </w:r>
            <w:r>
              <w:rPr>
                <w:rFonts w:hint="eastAsia" w:ascii="Times New Roman" w:hAnsi="Times New Roman" w:eastAsia="仿宋_GB2312" w:cs="Times New Roman"/>
                <w:color w:val="000000"/>
                <w:kern w:val="0"/>
                <w:sz w:val="20"/>
                <w:szCs w:val="20"/>
                <w:highlight w:val="none"/>
                <w:lang w:eastAsia="zh-CN"/>
              </w:rPr>
              <w:t>推介</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CD56C">
            <w:pPr>
              <w:widowControl/>
              <w:spacing w:line="240" w:lineRule="exact"/>
              <w:jc w:val="left"/>
              <w:rPr>
                <w:rFonts w:hint="default" w:ascii="Times New Roman" w:hAnsi="Times New Roman" w:eastAsia="仿宋_GB2312" w:cs="Times New Roman"/>
                <w:color w:val="000000"/>
                <w:kern w:val="2"/>
                <w:sz w:val="20"/>
                <w:szCs w:val="20"/>
                <w:highlight w:val="yellow"/>
                <w:lang w:val="en-US" w:eastAsia="zh-CN" w:bidi="ar-SA"/>
              </w:rPr>
            </w:pPr>
            <w:r>
              <w:rPr>
                <w:rFonts w:hint="default" w:ascii="Times New Roman" w:hAnsi="Times New Roman" w:eastAsia="仿宋_GB2312" w:cs="Times New Roman"/>
                <w:color w:val="000000"/>
                <w:sz w:val="20"/>
                <w:szCs w:val="20"/>
                <w:highlight w:val="none"/>
              </w:rPr>
              <w:t>宣传推介长株潭一体化发展相关信息效果良好。</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E7D44">
            <w:pPr>
              <w:widowControl/>
              <w:spacing w:line="240" w:lineRule="exact"/>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F51EE4D">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B66D46">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9DB7BC">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2ECED6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3B4661">
            <w:pPr>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4FC171E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38B42C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2EABA2E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955" w:type="dxa"/>
            <w:tcBorders>
              <w:top w:val="single" w:color="auto" w:sz="4" w:space="0"/>
              <w:left w:val="nil"/>
              <w:bottom w:val="single" w:color="auto" w:sz="4" w:space="0"/>
              <w:right w:val="single" w:color="auto" w:sz="4" w:space="0"/>
            </w:tcBorders>
            <w:noWrap w:val="0"/>
            <w:vAlign w:val="center"/>
          </w:tcPr>
          <w:p w14:paraId="7777DEF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5" w:type="dxa"/>
            <w:tcBorders>
              <w:top w:val="nil"/>
              <w:left w:val="nil"/>
              <w:bottom w:val="single" w:color="auto" w:sz="4" w:space="0"/>
              <w:right w:val="single" w:color="auto" w:sz="4" w:space="0"/>
            </w:tcBorders>
            <w:noWrap w:val="0"/>
            <w:vAlign w:val="center"/>
          </w:tcPr>
          <w:p w14:paraId="35B0153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highlight w:val="none"/>
              </w:rPr>
              <w:t>社会公众满意度</w:t>
            </w:r>
          </w:p>
        </w:tc>
        <w:tc>
          <w:tcPr>
            <w:tcW w:w="1245" w:type="dxa"/>
            <w:tcBorders>
              <w:top w:val="nil"/>
              <w:left w:val="nil"/>
              <w:bottom w:val="single" w:color="auto" w:sz="4" w:space="0"/>
              <w:right w:val="single" w:color="auto" w:sz="4" w:space="0"/>
            </w:tcBorders>
            <w:noWrap w:val="0"/>
            <w:vAlign w:val="center"/>
          </w:tcPr>
          <w:p w14:paraId="631603C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1282" w:type="dxa"/>
            <w:tcBorders>
              <w:top w:val="nil"/>
              <w:left w:val="nil"/>
              <w:bottom w:val="single" w:color="auto" w:sz="4" w:space="0"/>
              <w:right w:val="single" w:color="auto" w:sz="4" w:space="0"/>
            </w:tcBorders>
            <w:noWrap w:val="0"/>
            <w:vAlign w:val="center"/>
          </w:tcPr>
          <w:p w14:paraId="3E75893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673" w:type="dxa"/>
            <w:tcBorders>
              <w:top w:val="nil"/>
              <w:left w:val="nil"/>
              <w:bottom w:val="single" w:color="auto" w:sz="4" w:space="0"/>
              <w:right w:val="single" w:color="auto" w:sz="4" w:space="0"/>
            </w:tcBorders>
            <w:noWrap w:val="0"/>
            <w:vAlign w:val="center"/>
          </w:tcPr>
          <w:p w14:paraId="7920C329">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5D1C293">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D2FD4F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760F825">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0"/>
            <w:vAlign w:val="center"/>
          </w:tcPr>
          <w:p w14:paraId="3865AF5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73" w:type="dxa"/>
            <w:tcBorders>
              <w:top w:val="nil"/>
              <w:left w:val="nil"/>
              <w:bottom w:val="single" w:color="auto" w:sz="4" w:space="0"/>
              <w:right w:val="single" w:color="auto" w:sz="4" w:space="0"/>
            </w:tcBorders>
            <w:noWrap w:val="0"/>
            <w:vAlign w:val="center"/>
          </w:tcPr>
          <w:p w14:paraId="3EA31D7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882C852">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18B11DD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0B657749">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2025年4月9日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3-2</w:t>
      </w:r>
    </w:p>
    <w:p w14:paraId="27F53781">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7"/>
        <w:tblW w:w="9851" w:type="dxa"/>
        <w:jc w:val="center"/>
        <w:tblLayout w:type="autofit"/>
        <w:tblCellMar>
          <w:top w:w="0" w:type="dxa"/>
          <w:left w:w="108" w:type="dxa"/>
          <w:bottom w:w="0" w:type="dxa"/>
          <w:right w:w="108" w:type="dxa"/>
        </w:tblCellMar>
      </w:tblPr>
      <w:tblGrid>
        <w:gridCol w:w="1080"/>
        <w:gridCol w:w="988"/>
        <w:gridCol w:w="1047"/>
        <w:gridCol w:w="1245"/>
        <w:gridCol w:w="1245"/>
        <w:gridCol w:w="1282"/>
        <w:gridCol w:w="673"/>
        <w:gridCol w:w="873"/>
        <w:gridCol w:w="1418"/>
      </w:tblGrid>
      <w:tr w14:paraId="781DB212">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14:paraId="5E7D5C23">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14:paraId="63626D19">
            <w:pPr>
              <w:widowControl/>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eastAsia="zh-CN"/>
              </w:rPr>
              <w:t>其他事业发展类资金</w:t>
            </w:r>
          </w:p>
        </w:tc>
      </w:tr>
      <w:tr w14:paraId="0D77201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635ADC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0"/>
            <w:vAlign w:val="center"/>
          </w:tcPr>
          <w:p w14:paraId="5664BD8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eastAsia="zh-CN"/>
              </w:rPr>
              <w:t>湖南省长株潭一体化发展事务中心</w:t>
            </w:r>
          </w:p>
        </w:tc>
        <w:tc>
          <w:tcPr>
            <w:tcW w:w="1282" w:type="dxa"/>
            <w:tcBorders>
              <w:top w:val="single" w:color="auto" w:sz="4" w:space="0"/>
              <w:left w:val="nil"/>
              <w:bottom w:val="single" w:color="auto" w:sz="4" w:space="0"/>
              <w:right w:val="single" w:color="000000" w:sz="4" w:space="0"/>
            </w:tcBorders>
            <w:noWrap w:val="0"/>
            <w:vAlign w:val="center"/>
          </w:tcPr>
          <w:p w14:paraId="3F5921A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0"/>
            <w:vAlign w:val="center"/>
          </w:tcPr>
          <w:p w14:paraId="55733C7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eastAsia="zh-CN"/>
              </w:rPr>
              <w:t>湖南省长株潭一体化发展事务中心</w:t>
            </w:r>
          </w:p>
        </w:tc>
      </w:tr>
      <w:tr w14:paraId="50F5A68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43C65DA">
            <w:pPr>
              <w:widowControl/>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66C3A04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14:paraId="7AAB7FA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4C10167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245" w:type="dxa"/>
            <w:tcBorders>
              <w:top w:val="nil"/>
              <w:left w:val="nil"/>
              <w:bottom w:val="single" w:color="auto" w:sz="4" w:space="0"/>
              <w:right w:val="single" w:color="auto" w:sz="4" w:space="0"/>
            </w:tcBorders>
            <w:noWrap w:val="0"/>
            <w:vAlign w:val="center"/>
          </w:tcPr>
          <w:p w14:paraId="75BA7AB1">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1282" w:type="dxa"/>
            <w:tcBorders>
              <w:top w:val="nil"/>
              <w:left w:val="nil"/>
              <w:bottom w:val="single" w:color="auto" w:sz="4" w:space="0"/>
              <w:right w:val="single" w:color="auto" w:sz="4" w:space="0"/>
            </w:tcBorders>
            <w:noWrap w:val="0"/>
            <w:vAlign w:val="center"/>
          </w:tcPr>
          <w:p w14:paraId="18464CB6">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14:paraId="6C867CE4">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26BFB4E9">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1EA9DD87">
            <w:pPr>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2528AC8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EAABB6">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006F769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5" w:type="dxa"/>
            <w:tcBorders>
              <w:top w:val="nil"/>
              <w:left w:val="nil"/>
              <w:bottom w:val="single" w:color="auto" w:sz="4" w:space="0"/>
              <w:right w:val="single" w:color="auto" w:sz="4" w:space="0"/>
            </w:tcBorders>
            <w:noWrap w:val="0"/>
            <w:vAlign w:val="center"/>
          </w:tcPr>
          <w:p w14:paraId="264345FE">
            <w:pPr>
              <w:widowControl/>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1</w:t>
            </w:r>
            <w:r>
              <w:rPr>
                <w:rFonts w:hint="eastAsia" w:ascii="Times New Roman" w:hAnsi="Times New Roman" w:eastAsia="仿宋_GB2312" w:cs="Times New Roman"/>
                <w:color w:val="000000"/>
                <w:sz w:val="20"/>
                <w:szCs w:val="20"/>
                <w:highlight w:val="none"/>
                <w:lang w:val="en-US" w:eastAsia="zh-CN"/>
              </w:rPr>
              <w:t>58.06</w:t>
            </w:r>
          </w:p>
        </w:tc>
        <w:tc>
          <w:tcPr>
            <w:tcW w:w="1245" w:type="dxa"/>
            <w:tcBorders>
              <w:top w:val="nil"/>
              <w:left w:val="nil"/>
              <w:bottom w:val="single" w:color="auto" w:sz="4" w:space="0"/>
              <w:right w:val="single" w:color="auto" w:sz="4" w:space="0"/>
            </w:tcBorders>
            <w:noWrap w:val="0"/>
            <w:vAlign w:val="center"/>
          </w:tcPr>
          <w:p w14:paraId="27C11CD2">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214.26</w:t>
            </w:r>
          </w:p>
        </w:tc>
        <w:tc>
          <w:tcPr>
            <w:tcW w:w="1282" w:type="dxa"/>
            <w:tcBorders>
              <w:top w:val="nil"/>
              <w:left w:val="nil"/>
              <w:bottom w:val="single" w:color="auto" w:sz="4" w:space="0"/>
              <w:right w:val="single" w:color="auto" w:sz="4" w:space="0"/>
            </w:tcBorders>
            <w:noWrap w:val="0"/>
            <w:vAlign w:val="center"/>
          </w:tcPr>
          <w:p w14:paraId="32F22A64">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114.6</w:t>
            </w:r>
          </w:p>
        </w:tc>
        <w:tc>
          <w:tcPr>
            <w:tcW w:w="673" w:type="dxa"/>
            <w:tcBorders>
              <w:top w:val="nil"/>
              <w:left w:val="nil"/>
              <w:bottom w:val="single" w:color="auto" w:sz="4" w:space="0"/>
              <w:right w:val="single" w:color="auto" w:sz="4" w:space="0"/>
            </w:tcBorders>
            <w:noWrap w:val="0"/>
            <w:vAlign w:val="center"/>
          </w:tcPr>
          <w:p w14:paraId="347726D1">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84C062D">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53.49%</w:t>
            </w:r>
          </w:p>
        </w:tc>
        <w:tc>
          <w:tcPr>
            <w:tcW w:w="1418" w:type="dxa"/>
            <w:tcBorders>
              <w:top w:val="nil"/>
              <w:left w:val="nil"/>
              <w:bottom w:val="single" w:color="auto" w:sz="4" w:space="0"/>
              <w:right w:val="single" w:color="auto" w:sz="4" w:space="0"/>
            </w:tcBorders>
            <w:noWrap w:val="0"/>
            <w:vAlign w:val="center"/>
          </w:tcPr>
          <w:p w14:paraId="7D4A0D68">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6</w:t>
            </w:r>
          </w:p>
        </w:tc>
      </w:tr>
      <w:tr w14:paraId="5D2B58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280BEA">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49E31E9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5" w:type="dxa"/>
            <w:tcBorders>
              <w:top w:val="nil"/>
              <w:left w:val="nil"/>
              <w:bottom w:val="single" w:color="auto" w:sz="4" w:space="0"/>
              <w:right w:val="single" w:color="auto" w:sz="4" w:space="0"/>
            </w:tcBorders>
            <w:noWrap w:val="0"/>
            <w:vAlign w:val="center"/>
          </w:tcPr>
          <w:p w14:paraId="282F9F74">
            <w:pPr>
              <w:widowControl/>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1</w:t>
            </w:r>
            <w:r>
              <w:rPr>
                <w:rFonts w:hint="eastAsia" w:ascii="Times New Roman" w:hAnsi="Times New Roman" w:eastAsia="仿宋_GB2312" w:cs="Times New Roman"/>
                <w:color w:val="000000"/>
                <w:sz w:val="20"/>
                <w:szCs w:val="20"/>
                <w:highlight w:val="none"/>
                <w:lang w:val="en-US" w:eastAsia="zh-CN"/>
              </w:rPr>
              <w:t>58.06</w:t>
            </w:r>
          </w:p>
        </w:tc>
        <w:tc>
          <w:tcPr>
            <w:tcW w:w="1245" w:type="dxa"/>
            <w:tcBorders>
              <w:top w:val="nil"/>
              <w:left w:val="nil"/>
              <w:bottom w:val="single" w:color="auto" w:sz="4" w:space="0"/>
              <w:right w:val="single" w:color="auto" w:sz="4" w:space="0"/>
            </w:tcBorders>
            <w:noWrap w:val="0"/>
            <w:vAlign w:val="center"/>
          </w:tcPr>
          <w:p w14:paraId="5A031C53">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158.06</w:t>
            </w:r>
          </w:p>
        </w:tc>
        <w:tc>
          <w:tcPr>
            <w:tcW w:w="1282" w:type="dxa"/>
            <w:tcBorders>
              <w:top w:val="nil"/>
              <w:left w:val="nil"/>
              <w:bottom w:val="single" w:color="auto" w:sz="4" w:space="0"/>
              <w:right w:val="single" w:color="auto" w:sz="4" w:space="0"/>
            </w:tcBorders>
            <w:noWrap w:val="0"/>
            <w:vAlign w:val="center"/>
          </w:tcPr>
          <w:p w14:paraId="79B283DC">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114.6</w:t>
            </w:r>
          </w:p>
        </w:tc>
        <w:tc>
          <w:tcPr>
            <w:tcW w:w="673" w:type="dxa"/>
            <w:tcBorders>
              <w:top w:val="nil"/>
              <w:left w:val="nil"/>
              <w:bottom w:val="single" w:color="auto" w:sz="4" w:space="0"/>
              <w:right w:val="single" w:color="auto" w:sz="4" w:space="0"/>
            </w:tcBorders>
            <w:noWrap w:val="0"/>
            <w:vAlign w:val="center"/>
          </w:tcPr>
          <w:p w14:paraId="75C6B3E2">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EBE911">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6C0095D">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E9AC7B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5837B21">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24A0C49E">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5" w:type="dxa"/>
            <w:tcBorders>
              <w:top w:val="nil"/>
              <w:left w:val="nil"/>
              <w:bottom w:val="single" w:color="auto" w:sz="4" w:space="0"/>
              <w:right w:val="single" w:color="auto" w:sz="4" w:space="0"/>
            </w:tcBorders>
            <w:noWrap w:val="0"/>
            <w:vAlign w:val="center"/>
          </w:tcPr>
          <w:p w14:paraId="289C748B">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45" w:type="dxa"/>
            <w:tcBorders>
              <w:top w:val="nil"/>
              <w:left w:val="nil"/>
              <w:bottom w:val="single" w:color="auto" w:sz="4" w:space="0"/>
              <w:right w:val="single" w:color="auto" w:sz="4" w:space="0"/>
            </w:tcBorders>
            <w:noWrap w:val="0"/>
            <w:vAlign w:val="center"/>
          </w:tcPr>
          <w:p w14:paraId="45B9C45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56.2</w:t>
            </w:r>
          </w:p>
        </w:tc>
        <w:tc>
          <w:tcPr>
            <w:tcW w:w="1282" w:type="dxa"/>
            <w:tcBorders>
              <w:top w:val="nil"/>
              <w:left w:val="nil"/>
              <w:bottom w:val="single" w:color="auto" w:sz="4" w:space="0"/>
              <w:right w:val="single" w:color="auto" w:sz="4" w:space="0"/>
            </w:tcBorders>
            <w:noWrap w:val="0"/>
            <w:vAlign w:val="center"/>
          </w:tcPr>
          <w:p w14:paraId="4F140E84">
            <w:pPr>
              <w:widowControl/>
              <w:jc w:val="left"/>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highlight w:val="none"/>
              </w:rPr>
              <w:t>　</w:t>
            </w:r>
          </w:p>
        </w:tc>
        <w:tc>
          <w:tcPr>
            <w:tcW w:w="673" w:type="dxa"/>
            <w:tcBorders>
              <w:top w:val="nil"/>
              <w:left w:val="nil"/>
              <w:bottom w:val="single" w:color="auto" w:sz="4" w:space="0"/>
              <w:right w:val="single" w:color="auto" w:sz="4" w:space="0"/>
            </w:tcBorders>
            <w:noWrap w:val="0"/>
            <w:vAlign w:val="center"/>
          </w:tcPr>
          <w:p w14:paraId="1AB7EE7B">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85FCC42">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14F06CE">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4487A10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C931FB">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02E9BED1">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5" w:type="dxa"/>
            <w:tcBorders>
              <w:top w:val="nil"/>
              <w:left w:val="nil"/>
              <w:bottom w:val="single" w:color="auto" w:sz="4" w:space="0"/>
              <w:right w:val="single" w:color="auto" w:sz="4" w:space="0"/>
            </w:tcBorders>
            <w:noWrap w:val="0"/>
            <w:vAlign w:val="center"/>
          </w:tcPr>
          <w:p w14:paraId="1C1116C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08F863E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82" w:type="dxa"/>
            <w:tcBorders>
              <w:top w:val="nil"/>
              <w:left w:val="nil"/>
              <w:bottom w:val="single" w:color="auto" w:sz="4" w:space="0"/>
              <w:right w:val="single" w:color="auto" w:sz="4" w:space="0"/>
            </w:tcBorders>
            <w:noWrap w:val="0"/>
            <w:vAlign w:val="center"/>
          </w:tcPr>
          <w:p w14:paraId="52666FA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14:paraId="00BC9AA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FBC4E8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FA1499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58F311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B893D5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0"/>
            <w:vAlign w:val="center"/>
          </w:tcPr>
          <w:p w14:paraId="583170B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14:paraId="79BE732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3781EA0D">
        <w:tblPrEx>
          <w:tblCellMar>
            <w:top w:w="0" w:type="dxa"/>
            <w:left w:w="108" w:type="dxa"/>
            <w:bottom w:w="0" w:type="dxa"/>
            <w:right w:w="108" w:type="dxa"/>
          </w:tblCellMar>
        </w:tblPrEx>
        <w:trPr>
          <w:trHeight w:val="10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2A4A4B3">
            <w:pPr>
              <w:widowControl/>
              <w:jc w:val="left"/>
              <w:rPr>
                <w:rFonts w:hint="default" w:ascii="Times New Roman" w:hAnsi="Times New Roman" w:eastAsia="仿宋_GB2312" w:cs="Times New Roman"/>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0"/>
            <w:vAlign w:val="center"/>
          </w:tcPr>
          <w:p w14:paraId="72B0A7D5">
            <w:pPr>
              <w:widowControl/>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配合省发改委，做好绿心地区卫星监测和准入前期审核工作，积极宣传绿心保护政策，推动临园融城片区规划实施。</w:t>
            </w:r>
          </w:p>
        </w:tc>
        <w:tc>
          <w:tcPr>
            <w:tcW w:w="4246" w:type="dxa"/>
            <w:gridSpan w:val="4"/>
            <w:tcBorders>
              <w:top w:val="single" w:color="auto" w:sz="4" w:space="0"/>
              <w:left w:val="nil"/>
              <w:bottom w:val="single" w:color="auto" w:sz="4" w:space="0"/>
              <w:right w:val="single" w:color="auto" w:sz="4" w:space="0"/>
            </w:tcBorders>
            <w:noWrap w:val="0"/>
            <w:vAlign w:val="center"/>
          </w:tcPr>
          <w:p w14:paraId="350E286D">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配合省发改委，做好绿心地区卫星监测和准入前期审核工作，积极宣传绿心保护政策，推动临园融城片区规划实施。</w:t>
            </w:r>
          </w:p>
        </w:tc>
      </w:tr>
      <w:tr w14:paraId="180B33B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416EFA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2E27E6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277010A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3B9C652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988" w:type="dxa"/>
            <w:tcBorders>
              <w:top w:val="nil"/>
              <w:left w:val="nil"/>
              <w:bottom w:val="single" w:color="auto" w:sz="4" w:space="0"/>
              <w:right w:val="single" w:color="auto" w:sz="4" w:space="0"/>
            </w:tcBorders>
            <w:noWrap w:val="0"/>
            <w:vAlign w:val="center"/>
          </w:tcPr>
          <w:p w14:paraId="4A9B568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47" w:type="dxa"/>
            <w:tcBorders>
              <w:top w:val="nil"/>
              <w:left w:val="nil"/>
              <w:bottom w:val="single" w:color="auto" w:sz="4" w:space="0"/>
              <w:right w:val="single" w:color="auto" w:sz="4" w:space="0"/>
            </w:tcBorders>
            <w:noWrap w:val="0"/>
            <w:vAlign w:val="center"/>
          </w:tcPr>
          <w:p w14:paraId="35AE748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5" w:type="dxa"/>
            <w:tcBorders>
              <w:top w:val="nil"/>
              <w:left w:val="nil"/>
              <w:bottom w:val="single" w:color="auto" w:sz="4" w:space="0"/>
              <w:right w:val="single" w:color="auto" w:sz="4" w:space="0"/>
            </w:tcBorders>
            <w:noWrap w:val="0"/>
            <w:vAlign w:val="center"/>
          </w:tcPr>
          <w:p w14:paraId="4A49CB0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45" w:type="dxa"/>
            <w:tcBorders>
              <w:top w:val="nil"/>
              <w:left w:val="nil"/>
              <w:bottom w:val="single" w:color="auto" w:sz="4" w:space="0"/>
              <w:right w:val="single" w:color="auto" w:sz="4" w:space="0"/>
            </w:tcBorders>
            <w:noWrap w:val="0"/>
            <w:vAlign w:val="center"/>
          </w:tcPr>
          <w:p w14:paraId="49C0409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B8297F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82" w:type="dxa"/>
            <w:tcBorders>
              <w:top w:val="nil"/>
              <w:left w:val="nil"/>
              <w:bottom w:val="single" w:color="auto" w:sz="4" w:space="0"/>
              <w:right w:val="single" w:color="auto" w:sz="4" w:space="0"/>
            </w:tcBorders>
            <w:noWrap w:val="0"/>
            <w:vAlign w:val="center"/>
          </w:tcPr>
          <w:p w14:paraId="657F49F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7B28A76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73" w:type="dxa"/>
            <w:tcBorders>
              <w:top w:val="nil"/>
              <w:left w:val="nil"/>
              <w:bottom w:val="single" w:color="auto" w:sz="4" w:space="0"/>
              <w:right w:val="single" w:color="auto" w:sz="4" w:space="0"/>
            </w:tcBorders>
            <w:noWrap w:val="0"/>
            <w:vAlign w:val="center"/>
          </w:tcPr>
          <w:p w14:paraId="1D59DDE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7C942368">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18" w:type="dxa"/>
            <w:tcBorders>
              <w:top w:val="nil"/>
              <w:left w:val="nil"/>
              <w:bottom w:val="single" w:color="auto" w:sz="4" w:space="0"/>
              <w:right w:val="single" w:color="auto" w:sz="4" w:space="0"/>
            </w:tcBorders>
            <w:noWrap w:val="0"/>
            <w:vAlign w:val="center"/>
          </w:tcPr>
          <w:p w14:paraId="30A37EDC">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7229EF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0962BD">
            <w:pPr>
              <w:jc w:val="left"/>
              <w:rPr>
                <w:rFonts w:hint="default" w:ascii="Times New Roman" w:hAnsi="Times New Roman" w:eastAsia="仿宋_GB2312" w:cs="Times New Roman"/>
                <w:color w:val="000000"/>
                <w:sz w:val="20"/>
                <w:szCs w:val="20"/>
              </w:rPr>
            </w:pPr>
          </w:p>
        </w:tc>
        <w:tc>
          <w:tcPr>
            <w:tcW w:w="988" w:type="dxa"/>
            <w:vMerge w:val="restart"/>
            <w:tcBorders>
              <w:top w:val="nil"/>
              <w:left w:val="nil"/>
              <w:right w:val="single" w:color="auto" w:sz="4" w:space="0"/>
            </w:tcBorders>
            <w:noWrap w:val="0"/>
            <w:vAlign w:val="center"/>
          </w:tcPr>
          <w:p w14:paraId="2DD8545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770BA57">
            <w:pPr>
              <w:widowControl/>
              <w:jc w:val="center"/>
              <w:rPr>
                <w:rFonts w:hint="default" w:ascii="Times New Roman" w:hAnsi="Times New Roman" w:eastAsia="仿宋_GB2312" w:cs="Times New Roman"/>
                <w:color w:val="000000"/>
                <w:sz w:val="20"/>
                <w:szCs w:val="20"/>
              </w:rPr>
            </w:pPr>
          </w:p>
          <w:p w14:paraId="5EF9035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47" w:type="dxa"/>
            <w:tcBorders>
              <w:top w:val="nil"/>
              <w:left w:val="nil"/>
              <w:bottom w:val="single" w:color="auto" w:sz="4" w:space="0"/>
              <w:right w:val="single" w:color="auto" w:sz="4" w:space="0"/>
            </w:tcBorders>
            <w:noWrap w:val="0"/>
            <w:vAlign w:val="center"/>
          </w:tcPr>
          <w:p w14:paraId="317214D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5" w:type="dxa"/>
            <w:tcBorders>
              <w:top w:val="nil"/>
              <w:left w:val="nil"/>
              <w:bottom w:val="single" w:color="auto" w:sz="4" w:space="0"/>
              <w:right w:val="single" w:color="auto" w:sz="4" w:space="0"/>
            </w:tcBorders>
            <w:noWrap w:val="0"/>
            <w:vAlign w:val="center"/>
          </w:tcPr>
          <w:p w14:paraId="3B72037B">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绿心监测</w:t>
            </w:r>
          </w:p>
        </w:tc>
        <w:tc>
          <w:tcPr>
            <w:tcW w:w="1245" w:type="dxa"/>
            <w:tcBorders>
              <w:top w:val="nil"/>
              <w:left w:val="nil"/>
              <w:bottom w:val="single" w:color="auto" w:sz="4" w:space="0"/>
              <w:right w:val="single" w:color="auto" w:sz="4" w:space="0"/>
            </w:tcBorders>
            <w:noWrap w:val="0"/>
            <w:vAlign w:val="center"/>
          </w:tcPr>
          <w:p w14:paraId="3F687B0F">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召开违法违规认定会4次。</w:t>
            </w:r>
          </w:p>
        </w:tc>
        <w:tc>
          <w:tcPr>
            <w:tcW w:w="1282" w:type="dxa"/>
            <w:tcBorders>
              <w:top w:val="nil"/>
              <w:left w:val="nil"/>
              <w:bottom w:val="single" w:color="auto" w:sz="4" w:space="0"/>
              <w:right w:val="single" w:color="auto" w:sz="4" w:space="0"/>
            </w:tcBorders>
            <w:noWrap w:val="0"/>
            <w:vAlign w:val="center"/>
          </w:tcPr>
          <w:p w14:paraId="23734FA1">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4E93C63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C02824">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F91F9F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FF1B4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BDA528">
            <w:pPr>
              <w:jc w:val="left"/>
              <w:rPr>
                <w:rFonts w:hint="default" w:ascii="Times New Roman" w:hAnsi="Times New Roman" w:eastAsia="仿宋_GB2312" w:cs="Times New Roman"/>
                <w:color w:val="000000"/>
                <w:sz w:val="20"/>
                <w:szCs w:val="20"/>
              </w:rPr>
            </w:pPr>
          </w:p>
        </w:tc>
        <w:tc>
          <w:tcPr>
            <w:tcW w:w="988" w:type="dxa"/>
            <w:vMerge w:val="continue"/>
            <w:tcBorders>
              <w:left w:val="nil"/>
              <w:right w:val="single" w:color="auto" w:sz="4" w:space="0"/>
            </w:tcBorders>
            <w:noWrap w:val="0"/>
            <w:vAlign w:val="center"/>
          </w:tcPr>
          <w:p w14:paraId="14646D48">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035153B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5" w:type="dxa"/>
            <w:tcBorders>
              <w:top w:val="single" w:color="auto" w:sz="4" w:space="0"/>
              <w:left w:val="nil"/>
              <w:bottom w:val="single" w:color="auto" w:sz="4" w:space="0"/>
              <w:right w:val="single" w:color="auto" w:sz="4" w:space="0"/>
            </w:tcBorders>
            <w:noWrap w:val="0"/>
            <w:vAlign w:val="center"/>
          </w:tcPr>
          <w:p w14:paraId="0BEA3779">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合法合规</w:t>
            </w:r>
          </w:p>
        </w:tc>
        <w:tc>
          <w:tcPr>
            <w:tcW w:w="1245" w:type="dxa"/>
            <w:tcBorders>
              <w:top w:val="nil"/>
              <w:left w:val="nil"/>
              <w:bottom w:val="single" w:color="auto" w:sz="4" w:space="0"/>
              <w:right w:val="single" w:color="auto" w:sz="4" w:space="0"/>
            </w:tcBorders>
            <w:noWrap w:val="0"/>
            <w:vAlign w:val="center"/>
          </w:tcPr>
          <w:p w14:paraId="63DF0493">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确保绿心地区卫星监测违法违规认定工作合法合规。</w:t>
            </w:r>
          </w:p>
        </w:tc>
        <w:tc>
          <w:tcPr>
            <w:tcW w:w="1282" w:type="dxa"/>
            <w:tcBorders>
              <w:top w:val="nil"/>
              <w:left w:val="nil"/>
              <w:bottom w:val="single" w:color="auto" w:sz="4" w:space="0"/>
              <w:right w:val="single" w:color="auto" w:sz="4" w:space="0"/>
            </w:tcBorders>
            <w:noWrap w:val="0"/>
            <w:vAlign w:val="center"/>
          </w:tcPr>
          <w:p w14:paraId="453B9EA7">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658FADB3">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34C595B">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656CDA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0307A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5C08AD">
            <w:pPr>
              <w:jc w:val="left"/>
              <w:rPr>
                <w:rFonts w:hint="default" w:ascii="Times New Roman" w:hAnsi="Times New Roman" w:eastAsia="仿宋_GB2312" w:cs="Times New Roman"/>
                <w:color w:val="000000"/>
                <w:sz w:val="20"/>
                <w:szCs w:val="20"/>
              </w:rPr>
            </w:pPr>
          </w:p>
        </w:tc>
        <w:tc>
          <w:tcPr>
            <w:tcW w:w="988" w:type="dxa"/>
            <w:vMerge w:val="continue"/>
            <w:tcBorders>
              <w:left w:val="nil"/>
              <w:right w:val="single" w:color="auto" w:sz="4" w:space="0"/>
            </w:tcBorders>
            <w:noWrap w:val="0"/>
            <w:vAlign w:val="center"/>
          </w:tcPr>
          <w:p w14:paraId="6530CFB3">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7D00621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5" w:type="dxa"/>
            <w:tcBorders>
              <w:top w:val="single" w:color="auto" w:sz="4" w:space="0"/>
              <w:left w:val="nil"/>
              <w:bottom w:val="single" w:color="auto" w:sz="4" w:space="0"/>
              <w:right w:val="single" w:color="auto" w:sz="4" w:space="0"/>
            </w:tcBorders>
            <w:noWrap w:val="0"/>
            <w:vAlign w:val="center"/>
          </w:tcPr>
          <w:p w14:paraId="79838711">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完成时间</w:t>
            </w:r>
          </w:p>
        </w:tc>
        <w:tc>
          <w:tcPr>
            <w:tcW w:w="1245" w:type="dxa"/>
            <w:tcBorders>
              <w:top w:val="nil"/>
              <w:left w:val="nil"/>
              <w:bottom w:val="single" w:color="auto" w:sz="4" w:space="0"/>
              <w:right w:val="single" w:color="auto" w:sz="4" w:space="0"/>
            </w:tcBorders>
            <w:noWrap w:val="0"/>
            <w:vAlign w:val="center"/>
          </w:tcPr>
          <w:p w14:paraId="26E85923">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202</w:t>
            </w:r>
            <w:r>
              <w:rPr>
                <w:rFonts w:hint="eastAsia" w:ascii="Times New Roman" w:hAnsi="Times New Roman" w:eastAsia="仿宋_GB2312" w:cs="Times New Roman"/>
                <w:color w:val="000000"/>
                <w:sz w:val="20"/>
                <w:szCs w:val="20"/>
                <w:highlight w:val="none"/>
                <w:lang w:val="en-US" w:eastAsia="zh-CN"/>
              </w:rPr>
              <w:t>4</w:t>
            </w:r>
            <w:r>
              <w:rPr>
                <w:rFonts w:hint="eastAsia" w:ascii="Times New Roman" w:hAnsi="Times New Roman" w:eastAsia="仿宋_GB2312" w:cs="Times New Roman"/>
                <w:color w:val="000000"/>
                <w:sz w:val="20"/>
                <w:szCs w:val="20"/>
                <w:highlight w:val="none"/>
              </w:rPr>
              <w:t>年底前完成。</w:t>
            </w:r>
          </w:p>
        </w:tc>
        <w:tc>
          <w:tcPr>
            <w:tcW w:w="1282" w:type="dxa"/>
            <w:tcBorders>
              <w:top w:val="nil"/>
              <w:left w:val="nil"/>
              <w:bottom w:val="single" w:color="auto" w:sz="4" w:space="0"/>
              <w:right w:val="single" w:color="auto" w:sz="4" w:space="0"/>
            </w:tcBorders>
            <w:noWrap w:val="0"/>
            <w:vAlign w:val="center"/>
          </w:tcPr>
          <w:p w14:paraId="13D7420F">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64E011A3">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2B21FB8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555FC69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45312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3A7AC1">
            <w:pPr>
              <w:jc w:val="left"/>
              <w:rPr>
                <w:rFonts w:hint="default" w:ascii="Times New Roman" w:hAnsi="Times New Roman" w:eastAsia="仿宋_GB2312" w:cs="Times New Roman"/>
                <w:color w:val="000000"/>
                <w:sz w:val="20"/>
                <w:szCs w:val="20"/>
              </w:rPr>
            </w:pPr>
          </w:p>
        </w:tc>
        <w:tc>
          <w:tcPr>
            <w:tcW w:w="988" w:type="dxa"/>
            <w:vMerge w:val="continue"/>
            <w:tcBorders>
              <w:left w:val="nil"/>
              <w:bottom w:val="single" w:color="auto" w:sz="4" w:space="0"/>
              <w:right w:val="single" w:color="auto" w:sz="4" w:space="0"/>
            </w:tcBorders>
            <w:noWrap w:val="0"/>
            <w:vAlign w:val="center"/>
          </w:tcPr>
          <w:p w14:paraId="2E58B0FF">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7B140E2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5" w:type="dxa"/>
            <w:tcBorders>
              <w:top w:val="single" w:color="auto" w:sz="4" w:space="0"/>
              <w:left w:val="nil"/>
              <w:bottom w:val="single" w:color="auto" w:sz="4" w:space="0"/>
              <w:right w:val="single" w:color="auto" w:sz="4" w:space="0"/>
            </w:tcBorders>
            <w:noWrap w:val="0"/>
            <w:vAlign w:val="center"/>
          </w:tcPr>
          <w:p w14:paraId="51239DE1">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成本控制</w:t>
            </w:r>
          </w:p>
        </w:tc>
        <w:tc>
          <w:tcPr>
            <w:tcW w:w="1245" w:type="dxa"/>
            <w:tcBorders>
              <w:top w:val="nil"/>
              <w:left w:val="nil"/>
              <w:bottom w:val="single" w:color="auto" w:sz="4" w:space="0"/>
              <w:right w:val="single" w:color="auto" w:sz="4" w:space="0"/>
            </w:tcBorders>
            <w:shd w:val="clear" w:color="auto" w:fill="auto"/>
            <w:noWrap w:val="0"/>
            <w:vAlign w:val="center"/>
          </w:tcPr>
          <w:p w14:paraId="4D6FA4A4">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rPr>
              <w:t>项目经费预算执行不超全年预算。</w:t>
            </w:r>
          </w:p>
        </w:tc>
        <w:tc>
          <w:tcPr>
            <w:tcW w:w="1282" w:type="dxa"/>
            <w:tcBorders>
              <w:top w:val="nil"/>
              <w:left w:val="nil"/>
              <w:bottom w:val="single" w:color="auto" w:sz="4" w:space="0"/>
              <w:right w:val="single" w:color="auto" w:sz="4" w:space="0"/>
            </w:tcBorders>
            <w:shd w:val="clear" w:color="auto" w:fill="auto"/>
            <w:noWrap w:val="0"/>
            <w:vAlign w:val="center"/>
          </w:tcPr>
          <w:p w14:paraId="31786DD3">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53.49%</w:t>
            </w:r>
          </w:p>
        </w:tc>
        <w:tc>
          <w:tcPr>
            <w:tcW w:w="673" w:type="dxa"/>
            <w:tcBorders>
              <w:top w:val="nil"/>
              <w:left w:val="nil"/>
              <w:bottom w:val="single" w:color="auto" w:sz="4" w:space="0"/>
              <w:right w:val="single" w:color="auto" w:sz="4" w:space="0"/>
            </w:tcBorders>
            <w:noWrap w:val="0"/>
            <w:vAlign w:val="center"/>
          </w:tcPr>
          <w:p w14:paraId="0B6566D7">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73EAF99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710FD09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29391E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FC627D5">
            <w:pPr>
              <w:jc w:val="left"/>
              <w:rPr>
                <w:rFonts w:hint="default" w:ascii="Times New Roman" w:hAnsi="Times New Roman" w:eastAsia="仿宋_GB2312" w:cs="Times New Roman"/>
                <w:color w:val="000000"/>
                <w:sz w:val="20"/>
                <w:szCs w:val="20"/>
              </w:rPr>
            </w:pPr>
          </w:p>
        </w:tc>
        <w:tc>
          <w:tcPr>
            <w:tcW w:w="988" w:type="dxa"/>
            <w:vMerge w:val="restart"/>
            <w:tcBorders>
              <w:top w:val="single" w:color="auto" w:sz="4" w:space="0"/>
              <w:left w:val="nil"/>
              <w:bottom w:val="single" w:color="auto" w:sz="4" w:space="0"/>
              <w:right w:val="single" w:color="auto" w:sz="4" w:space="0"/>
            </w:tcBorders>
            <w:noWrap w:val="0"/>
            <w:vAlign w:val="center"/>
          </w:tcPr>
          <w:p w14:paraId="6E15D0F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54DC775">
            <w:pPr>
              <w:widowControl/>
              <w:jc w:val="left"/>
              <w:rPr>
                <w:rFonts w:hint="default" w:ascii="Times New Roman" w:hAnsi="Times New Roman" w:eastAsia="仿宋_GB2312" w:cs="Times New Roman"/>
                <w:color w:val="000000"/>
                <w:sz w:val="20"/>
                <w:szCs w:val="20"/>
              </w:rPr>
            </w:pPr>
          </w:p>
          <w:p w14:paraId="0FE2855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0484FE2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47" w:type="dxa"/>
            <w:tcBorders>
              <w:top w:val="single" w:color="auto" w:sz="4" w:space="0"/>
              <w:left w:val="nil"/>
              <w:bottom w:val="single" w:color="auto" w:sz="4" w:space="0"/>
              <w:right w:val="single" w:color="auto" w:sz="4" w:space="0"/>
            </w:tcBorders>
            <w:noWrap w:val="0"/>
            <w:vAlign w:val="center"/>
          </w:tcPr>
          <w:p w14:paraId="4E0FD8E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8B293D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3FE3390E">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绿色发展</w:t>
            </w:r>
          </w:p>
        </w:tc>
        <w:tc>
          <w:tcPr>
            <w:tcW w:w="1245" w:type="dxa"/>
            <w:tcBorders>
              <w:top w:val="nil"/>
              <w:left w:val="nil"/>
              <w:bottom w:val="single" w:color="auto" w:sz="4" w:space="0"/>
              <w:right w:val="single" w:color="auto" w:sz="4" w:space="0"/>
            </w:tcBorders>
            <w:noWrap w:val="0"/>
            <w:vAlign w:val="center"/>
          </w:tcPr>
          <w:p w14:paraId="3914C60C">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保障绿心保值增值，促进绿心地区低碳绿色发展。</w:t>
            </w:r>
          </w:p>
        </w:tc>
        <w:tc>
          <w:tcPr>
            <w:tcW w:w="1282" w:type="dxa"/>
            <w:tcBorders>
              <w:top w:val="nil"/>
              <w:left w:val="nil"/>
              <w:bottom w:val="single" w:color="auto" w:sz="4" w:space="0"/>
              <w:right w:val="single" w:color="auto" w:sz="4" w:space="0"/>
            </w:tcBorders>
            <w:noWrap w:val="0"/>
            <w:vAlign w:val="center"/>
          </w:tcPr>
          <w:p w14:paraId="4F4E046D">
            <w:pPr>
              <w:widowControl/>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已完成。</w:t>
            </w:r>
          </w:p>
        </w:tc>
        <w:tc>
          <w:tcPr>
            <w:tcW w:w="673" w:type="dxa"/>
            <w:tcBorders>
              <w:top w:val="nil"/>
              <w:left w:val="nil"/>
              <w:bottom w:val="single" w:color="auto" w:sz="4" w:space="0"/>
              <w:right w:val="single" w:color="auto" w:sz="4" w:space="0"/>
            </w:tcBorders>
            <w:shd w:val="clear" w:color="auto" w:fill="auto"/>
            <w:noWrap w:val="0"/>
            <w:vAlign w:val="center"/>
          </w:tcPr>
          <w:p w14:paraId="29DD2227">
            <w:pPr>
              <w:widowControl/>
              <w:jc w:val="left"/>
              <w:rPr>
                <w:rFonts w:hint="eastAsia"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nil"/>
              <w:left w:val="nil"/>
              <w:bottom w:val="single" w:color="auto" w:sz="4" w:space="0"/>
              <w:right w:val="single" w:color="auto" w:sz="4" w:space="0"/>
            </w:tcBorders>
            <w:shd w:val="clear" w:color="auto" w:fill="auto"/>
            <w:noWrap w:val="0"/>
            <w:vAlign w:val="center"/>
          </w:tcPr>
          <w:p w14:paraId="18BD0091">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nil"/>
              <w:left w:val="nil"/>
              <w:bottom w:val="single" w:color="auto" w:sz="4" w:space="0"/>
              <w:right w:val="single" w:color="auto" w:sz="4" w:space="0"/>
            </w:tcBorders>
            <w:noWrap w:val="0"/>
            <w:vAlign w:val="center"/>
          </w:tcPr>
          <w:p w14:paraId="698569D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16156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127085">
            <w:pPr>
              <w:jc w:val="left"/>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14:paraId="5A75022F">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2B80892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0DDF253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3C5426A7">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群众基础</w:t>
            </w:r>
          </w:p>
        </w:tc>
        <w:tc>
          <w:tcPr>
            <w:tcW w:w="1245" w:type="dxa"/>
            <w:tcBorders>
              <w:top w:val="nil"/>
              <w:left w:val="nil"/>
              <w:bottom w:val="single" w:color="auto" w:sz="4" w:space="0"/>
              <w:right w:val="single" w:color="auto" w:sz="4" w:space="0"/>
            </w:tcBorders>
            <w:noWrap w:val="0"/>
            <w:vAlign w:val="center"/>
          </w:tcPr>
          <w:p w14:paraId="156CEE1F">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筑牢绿心保护群众基础；推动临园融城片区高质量发展。</w:t>
            </w:r>
          </w:p>
        </w:tc>
        <w:tc>
          <w:tcPr>
            <w:tcW w:w="1282" w:type="dxa"/>
            <w:tcBorders>
              <w:top w:val="nil"/>
              <w:left w:val="nil"/>
              <w:bottom w:val="single" w:color="auto" w:sz="4" w:space="0"/>
              <w:right w:val="single" w:color="auto" w:sz="4" w:space="0"/>
            </w:tcBorders>
            <w:noWrap w:val="0"/>
            <w:vAlign w:val="center"/>
          </w:tcPr>
          <w:p w14:paraId="2177778C">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shd w:val="clear" w:color="auto" w:fill="auto"/>
            <w:noWrap w:val="0"/>
            <w:vAlign w:val="center"/>
          </w:tcPr>
          <w:p w14:paraId="16021F8E">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nil"/>
              <w:left w:val="nil"/>
              <w:bottom w:val="single" w:color="auto" w:sz="4" w:space="0"/>
              <w:right w:val="single" w:color="auto" w:sz="4" w:space="0"/>
            </w:tcBorders>
            <w:shd w:val="clear" w:color="auto" w:fill="auto"/>
            <w:noWrap w:val="0"/>
            <w:vAlign w:val="center"/>
          </w:tcPr>
          <w:p w14:paraId="70CFDD8E">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nil"/>
              <w:left w:val="nil"/>
              <w:bottom w:val="single" w:color="auto" w:sz="4" w:space="0"/>
              <w:right w:val="single" w:color="auto" w:sz="4" w:space="0"/>
            </w:tcBorders>
            <w:noWrap w:val="0"/>
            <w:vAlign w:val="center"/>
          </w:tcPr>
          <w:p w14:paraId="2556B1A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05FD9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29E856">
            <w:pPr>
              <w:jc w:val="left"/>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14:paraId="269319AA">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right w:val="single" w:color="auto" w:sz="4" w:space="0"/>
            </w:tcBorders>
            <w:noWrap w:val="0"/>
            <w:vAlign w:val="center"/>
          </w:tcPr>
          <w:p w14:paraId="0DD661E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8A430C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7C355028">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绿心环保</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9125EBC">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绿心生态环境质量持续加强。</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0288862">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已完成。</w:t>
            </w:r>
          </w:p>
        </w:tc>
        <w:tc>
          <w:tcPr>
            <w:tcW w:w="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36EB3">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85C3D8">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00BC3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8EECF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F43B08">
            <w:pPr>
              <w:widowControl/>
              <w:jc w:val="center"/>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14:paraId="08BFFE78">
            <w:pPr>
              <w:widowControl/>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351952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A89EEF0">
            <w:pPr>
              <w:widowControl/>
              <w:jc w:val="left"/>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政策宣传</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469EE3">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政策宣传做到“相关地区、相关部门、相关人员全覆盖”。</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ED6EAC5">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472A1">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23496">
            <w:pPr>
              <w:widowControl/>
              <w:jc w:val="left"/>
              <w:rPr>
                <w:rFonts w:hint="default" w:ascii="Times New Roman" w:hAnsi="Times New Roman" w:eastAsia="仿宋_GB2312" w:cs="Times New Roman"/>
                <w:color w:val="000000"/>
                <w:kern w:val="2"/>
                <w:sz w:val="20"/>
                <w:szCs w:val="20"/>
                <w:highlight w:val="none"/>
                <w:lang w:val="en-US" w:eastAsia="zh-CN" w:bidi="ar-SA"/>
              </w:rPr>
            </w:pPr>
            <w:r>
              <w:rPr>
                <w:rFonts w:hint="eastAsia" w:ascii="Times New Roman" w:hAnsi="Times New Roman" w:eastAsia="仿宋_GB2312" w:cs="Times New Roman"/>
                <w:color w:val="000000"/>
                <w:sz w:val="20"/>
                <w:szCs w:val="20"/>
                <w:highlight w:val="none"/>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4258F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30D891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FAE0D8">
            <w:pPr>
              <w:jc w:val="left"/>
              <w:rPr>
                <w:rFonts w:hint="default" w:ascii="Times New Roman" w:hAnsi="Times New Roman" w:eastAsia="仿宋_GB2312" w:cs="Times New Roman"/>
                <w:color w:val="000000"/>
                <w:sz w:val="20"/>
                <w:szCs w:val="20"/>
              </w:rPr>
            </w:pPr>
          </w:p>
        </w:tc>
        <w:tc>
          <w:tcPr>
            <w:tcW w:w="988" w:type="dxa"/>
            <w:tcBorders>
              <w:top w:val="single" w:color="auto" w:sz="4" w:space="0"/>
              <w:left w:val="nil"/>
              <w:bottom w:val="single" w:color="auto" w:sz="4" w:space="0"/>
              <w:right w:val="single" w:color="auto" w:sz="4" w:space="0"/>
            </w:tcBorders>
            <w:noWrap w:val="0"/>
            <w:vAlign w:val="center"/>
          </w:tcPr>
          <w:p w14:paraId="0B2E48F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AAE61DC">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1718DA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47" w:type="dxa"/>
            <w:tcBorders>
              <w:top w:val="single" w:color="auto" w:sz="4" w:space="0"/>
              <w:left w:val="nil"/>
              <w:right w:val="single" w:color="auto" w:sz="4" w:space="0"/>
            </w:tcBorders>
            <w:noWrap w:val="0"/>
            <w:vAlign w:val="center"/>
          </w:tcPr>
          <w:p w14:paraId="17C2EB5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5" w:type="dxa"/>
            <w:tcBorders>
              <w:top w:val="single" w:color="auto" w:sz="4" w:space="0"/>
              <w:left w:val="nil"/>
              <w:bottom w:val="single" w:color="auto" w:sz="4" w:space="0"/>
              <w:right w:val="single" w:color="auto" w:sz="4" w:space="0"/>
            </w:tcBorders>
            <w:noWrap w:val="0"/>
            <w:vAlign w:val="center"/>
          </w:tcPr>
          <w:p w14:paraId="5AD6975E">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社会公众满意度</w:t>
            </w:r>
          </w:p>
        </w:tc>
        <w:tc>
          <w:tcPr>
            <w:tcW w:w="1245" w:type="dxa"/>
            <w:tcBorders>
              <w:top w:val="nil"/>
              <w:left w:val="nil"/>
              <w:bottom w:val="single" w:color="auto" w:sz="4" w:space="0"/>
              <w:right w:val="single" w:color="auto" w:sz="4" w:space="0"/>
            </w:tcBorders>
            <w:noWrap w:val="0"/>
            <w:vAlign w:val="center"/>
          </w:tcPr>
          <w:p w14:paraId="36A4CEBA">
            <w:pPr>
              <w:widowControl/>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社会公众满意度90%以上。</w:t>
            </w:r>
          </w:p>
        </w:tc>
        <w:tc>
          <w:tcPr>
            <w:tcW w:w="1282" w:type="dxa"/>
            <w:tcBorders>
              <w:top w:val="nil"/>
              <w:left w:val="nil"/>
              <w:bottom w:val="single" w:color="auto" w:sz="4" w:space="0"/>
              <w:right w:val="single" w:color="auto" w:sz="4" w:space="0"/>
            </w:tcBorders>
            <w:noWrap w:val="0"/>
            <w:vAlign w:val="center"/>
          </w:tcPr>
          <w:p w14:paraId="18B158E1">
            <w:pPr>
              <w:widowControl/>
              <w:jc w:val="left"/>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已完成。</w:t>
            </w:r>
          </w:p>
        </w:tc>
        <w:tc>
          <w:tcPr>
            <w:tcW w:w="673" w:type="dxa"/>
            <w:tcBorders>
              <w:top w:val="nil"/>
              <w:left w:val="nil"/>
              <w:bottom w:val="single" w:color="auto" w:sz="4" w:space="0"/>
              <w:right w:val="single" w:color="auto" w:sz="4" w:space="0"/>
            </w:tcBorders>
            <w:noWrap w:val="0"/>
            <w:vAlign w:val="center"/>
          </w:tcPr>
          <w:p w14:paraId="5611F07C">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B3209F5">
            <w:pPr>
              <w:widowControl/>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127FA8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2A4F439">
        <w:tblPrEx>
          <w:tblCellMar>
            <w:top w:w="0" w:type="dxa"/>
            <w:left w:w="108" w:type="dxa"/>
            <w:bottom w:w="0" w:type="dxa"/>
            <w:right w:w="108" w:type="dxa"/>
          </w:tblCellMar>
        </w:tblPrEx>
        <w:trPr>
          <w:trHeight w:val="307" w:hRule="atLeast"/>
          <w:jc w:val="center"/>
        </w:trPr>
        <w:tc>
          <w:tcPr>
            <w:tcW w:w="6887" w:type="dxa"/>
            <w:gridSpan w:val="6"/>
            <w:tcBorders>
              <w:top w:val="single" w:color="auto" w:sz="4" w:space="0"/>
              <w:left w:val="single" w:color="auto" w:sz="4" w:space="0"/>
              <w:bottom w:val="single" w:color="auto" w:sz="4" w:space="0"/>
              <w:right w:val="single" w:color="000000" w:sz="4" w:space="0"/>
            </w:tcBorders>
            <w:noWrap w:val="0"/>
            <w:vAlign w:val="center"/>
          </w:tcPr>
          <w:p w14:paraId="7B068E6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73" w:type="dxa"/>
            <w:tcBorders>
              <w:top w:val="nil"/>
              <w:left w:val="nil"/>
              <w:bottom w:val="single" w:color="auto" w:sz="4" w:space="0"/>
              <w:right w:val="single" w:color="auto" w:sz="4" w:space="0"/>
            </w:tcBorders>
            <w:noWrap w:val="0"/>
            <w:vAlign w:val="center"/>
          </w:tcPr>
          <w:p w14:paraId="0474EE3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1CF6DFC">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96</w:t>
            </w:r>
            <w:bookmarkStart w:id="0" w:name="_GoBack"/>
            <w:bookmarkEnd w:id="0"/>
          </w:p>
        </w:tc>
        <w:tc>
          <w:tcPr>
            <w:tcW w:w="1418" w:type="dxa"/>
            <w:tcBorders>
              <w:top w:val="nil"/>
              <w:left w:val="nil"/>
              <w:bottom w:val="single" w:color="auto" w:sz="4" w:space="0"/>
              <w:right w:val="single" w:color="auto" w:sz="4" w:space="0"/>
            </w:tcBorders>
            <w:noWrap w:val="0"/>
            <w:vAlign w:val="center"/>
          </w:tcPr>
          <w:p w14:paraId="50D319F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08FDA902">
      <w:pPr>
        <w:widowControl/>
        <w:spacing w:line="6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2025年4月9日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p>
    <w:sectPr>
      <w:footerReference r:id="rId6" w:type="default"/>
      <w:pgSz w:w="11906" w:h="16838"/>
      <w:pgMar w:top="1758" w:right="1531" w:bottom="1644" w:left="1588" w:header="851" w:footer="124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ECB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E9A8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5C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833A4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RIzmNABAACiAwAADgAAAAAAAAABACAAAAAeAQAAZHJz&#10;L2Uyb0RvYy54bWxQSwUGAAAAAAYABgBZAQAAYAUAAAAA&#10;">
              <v:fill on="f" focussize="0,0"/>
              <v:stroke on="f"/>
              <v:imagedata o:title=""/>
              <o:lock v:ext="edit" aspectratio="f"/>
              <v:textbox inset="0mm,0mm,0mm,0mm" style="mso-fit-shape-to-text:t;">
                <w:txbxContent>
                  <w:p w14:paraId="27833A4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3794">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98AAF"/>
    <w:multiLevelType w:val="singleLevel"/>
    <w:tmpl w:val="60498AAF"/>
    <w:lvl w:ilvl="0" w:tentative="0">
      <w:start w:val="1"/>
      <w:numFmt w:val="chineseCounting"/>
      <w:suff w:val="nothing"/>
      <w:lvlText w:val="%1、"/>
      <w:lvlJc w:val="left"/>
    </w:lvl>
  </w:abstractNum>
  <w:abstractNum w:abstractNumId="1">
    <w:nsid w:val="609DCD6E"/>
    <w:multiLevelType w:val="singleLevel"/>
    <w:tmpl w:val="609DCD6E"/>
    <w:lvl w:ilvl="0" w:tentative="0">
      <w:start w:val="3"/>
      <w:numFmt w:val="chineseCounting"/>
      <w:suff w:val="nothing"/>
      <w:lvlText w:val="%1、"/>
      <w:lvlJc w:val="left"/>
    </w:lvl>
  </w:abstractNum>
  <w:abstractNum w:abstractNumId="2">
    <w:nsid w:val="60ADAA05"/>
    <w:multiLevelType w:val="singleLevel"/>
    <w:tmpl w:val="60ADAA05"/>
    <w:lvl w:ilvl="0" w:tentative="0">
      <w:start w:val="8"/>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zg5Yjc5OTAwODA3ZjkzOWYyODEyZmNjM2VmOTcifQ=="/>
  </w:docVars>
  <w:rsids>
    <w:rsidRoot w:val="33FD377A"/>
    <w:rsid w:val="00053C15"/>
    <w:rsid w:val="000E48B6"/>
    <w:rsid w:val="0013248C"/>
    <w:rsid w:val="001510A0"/>
    <w:rsid w:val="0035240E"/>
    <w:rsid w:val="00354B88"/>
    <w:rsid w:val="003F7C1C"/>
    <w:rsid w:val="005A7C7E"/>
    <w:rsid w:val="00735C95"/>
    <w:rsid w:val="00790FA5"/>
    <w:rsid w:val="007B5024"/>
    <w:rsid w:val="00930CEC"/>
    <w:rsid w:val="00941FF6"/>
    <w:rsid w:val="00963027"/>
    <w:rsid w:val="009D36DF"/>
    <w:rsid w:val="00AB5034"/>
    <w:rsid w:val="00AE4AFC"/>
    <w:rsid w:val="00B3089B"/>
    <w:rsid w:val="00CE67B0"/>
    <w:rsid w:val="01284DAD"/>
    <w:rsid w:val="019E01B2"/>
    <w:rsid w:val="0283330D"/>
    <w:rsid w:val="034E0C18"/>
    <w:rsid w:val="03591AD3"/>
    <w:rsid w:val="0408227F"/>
    <w:rsid w:val="04165497"/>
    <w:rsid w:val="041B3B45"/>
    <w:rsid w:val="04684988"/>
    <w:rsid w:val="04AA0A87"/>
    <w:rsid w:val="06177838"/>
    <w:rsid w:val="0620423B"/>
    <w:rsid w:val="06520096"/>
    <w:rsid w:val="088032D3"/>
    <w:rsid w:val="08FE1D39"/>
    <w:rsid w:val="09650DFF"/>
    <w:rsid w:val="09F32174"/>
    <w:rsid w:val="0A111504"/>
    <w:rsid w:val="0A1E4E03"/>
    <w:rsid w:val="0A3A393F"/>
    <w:rsid w:val="0A5371F6"/>
    <w:rsid w:val="0AA96E63"/>
    <w:rsid w:val="0AD35BED"/>
    <w:rsid w:val="0AD45054"/>
    <w:rsid w:val="0B1B7FAD"/>
    <w:rsid w:val="0B5100FC"/>
    <w:rsid w:val="0BDC2806"/>
    <w:rsid w:val="0D066C37"/>
    <w:rsid w:val="0D77153F"/>
    <w:rsid w:val="0D7F708F"/>
    <w:rsid w:val="0D8A4224"/>
    <w:rsid w:val="0E473278"/>
    <w:rsid w:val="0F9B2D3F"/>
    <w:rsid w:val="0FC36F4B"/>
    <w:rsid w:val="102A3B8D"/>
    <w:rsid w:val="11013FF7"/>
    <w:rsid w:val="11610C55"/>
    <w:rsid w:val="119F3152"/>
    <w:rsid w:val="11BA155D"/>
    <w:rsid w:val="11C77961"/>
    <w:rsid w:val="122201DF"/>
    <w:rsid w:val="1264166B"/>
    <w:rsid w:val="128C2B39"/>
    <w:rsid w:val="12971655"/>
    <w:rsid w:val="129E3271"/>
    <w:rsid w:val="12FF123C"/>
    <w:rsid w:val="1303362A"/>
    <w:rsid w:val="13787711"/>
    <w:rsid w:val="13A617EC"/>
    <w:rsid w:val="13AC1C1A"/>
    <w:rsid w:val="13B5532C"/>
    <w:rsid w:val="144A2354"/>
    <w:rsid w:val="14B23CFC"/>
    <w:rsid w:val="15716961"/>
    <w:rsid w:val="15787343"/>
    <w:rsid w:val="161363DA"/>
    <w:rsid w:val="16E546BE"/>
    <w:rsid w:val="17332A1A"/>
    <w:rsid w:val="17382A5E"/>
    <w:rsid w:val="177A6B0C"/>
    <w:rsid w:val="17AD6819"/>
    <w:rsid w:val="17DA2D9A"/>
    <w:rsid w:val="17DF598C"/>
    <w:rsid w:val="18DB5862"/>
    <w:rsid w:val="18EB2430"/>
    <w:rsid w:val="191502F9"/>
    <w:rsid w:val="19810F0A"/>
    <w:rsid w:val="19BD4842"/>
    <w:rsid w:val="19D44C1D"/>
    <w:rsid w:val="1A6745A4"/>
    <w:rsid w:val="1AC23AEC"/>
    <w:rsid w:val="1ADD03C2"/>
    <w:rsid w:val="1B044F17"/>
    <w:rsid w:val="1B7549F6"/>
    <w:rsid w:val="1B893603"/>
    <w:rsid w:val="1BCC1F7B"/>
    <w:rsid w:val="1C1E2E04"/>
    <w:rsid w:val="1C7C1FFC"/>
    <w:rsid w:val="1C970CCA"/>
    <w:rsid w:val="1CF31295"/>
    <w:rsid w:val="1D7C6BB1"/>
    <w:rsid w:val="1DFC3255"/>
    <w:rsid w:val="1E192DA5"/>
    <w:rsid w:val="1EC10726"/>
    <w:rsid w:val="1EFB3574"/>
    <w:rsid w:val="204809D3"/>
    <w:rsid w:val="20C41A43"/>
    <w:rsid w:val="21727824"/>
    <w:rsid w:val="22E43C09"/>
    <w:rsid w:val="22F95FB5"/>
    <w:rsid w:val="23DB210E"/>
    <w:rsid w:val="23DC390D"/>
    <w:rsid w:val="247A2505"/>
    <w:rsid w:val="24AD1FF1"/>
    <w:rsid w:val="24B77A28"/>
    <w:rsid w:val="25010BDC"/>
    <w:rsid w:val="25901DFC"/>
    <w:rsid w:val="27000A95"/>
    <w:rsid w:val="27767BE0"/>
    <w:rsid w:val="27C7732F"/>
    <w:rsid w:val="280737C0"/>
    <w:rsid w:val="284D7516"/>
    <w:rsid w:val="28A51C69"/>
    <w:rsid w:val="28BD4A6D"/>
    <w:rsid w:val="293B188B"/>
    <w:rsid w:val="29B03A33"/>
    <w:rsid w:val="29B669AE"/>
    <w:rsid w:val="29CF14F4"/>
    <w:rsid w:val="2A34531A"/>
    <w:rsid w:val="2AD45FAC"/>
    <w:rsid w:val="2B29648D"/>
    <w:rsid w:val="2B3D7387"/>
    <w:rsid w:val="2B514F38"/>
    <w:rsid w:val="2C2873BB"/>
    <w:rsid w:val="2C6132C4"/>
    <w:rsid w:val="2CB83925"/>
    <w:rsid w:val="2D15393D"/>
    <w:rsid w:val="2D9D3581"/>
    <w:rsid w:val="2E63492F"/>
    <w:rsid w:val="2ED17C60"/>
    <w:rsid w:val="2F583F8D"/>
    <w:rsid w:val="2F8207F8"/>
    <w:rsid w:val="2FB34465"/>
    <w:rsid w:val="2FB92AA4"/>
    <w:rsid w:val="304E4BA5"/>
    <w:rsid w:val="30A04ED9"/>
    <w:rsid w:val="30CB487C"/>
    <w:rsid w:val="30EE07A4"/>
    <w:rsid w:val="31541D0B"/>
    <w:rsid w:val="31F77E89"/>
    <w:rsid w:val="32042FF1"/>
    <w:rsid w:val="328E04C8"/>
    <w:rsid w:val="3328760B"/>
    <w:rsid w:val="33BB4473"/>
    <w:rsid w:val="33CD151A"/>
    <w:rsid w:val="33DD0EC5"/>
    <w:rsid w:val="33FD377A"/>
    <w:rsid w:val="356122B1"/>
    <w:rsid w:val="35C21B40"/>
    <w:rsid w:val="367D4037"/>
    <w:rsid w:val="36A90E70"/>
    <w:rsid w:val="36F2455F"/>
    <w:rsid w:val="37FD4B83"/>
    <w:rsid w:val="38003C16"/>
    <w:rsid w:val="384131F9"/>
    <w:rsid w:val="38C31756"/>
    <w:rsid w:val="38EF2CD4"/>
    <w:rsid w:val="395E7E49"/>
    <w:rsid w:val="39856902"/>
    <w:rsid w:val="399F04AA"/>
    <w:rsid w:val="3A0B405E"/>
    <w:rsid w:val="3A7B6D86"/>
    <w:rsid w:val="3B7346FF"/>
    <w:rsid w:val="3BCA3C90"/>
    <w:rsid w:val="3C6B1109"/>
    <w:rsid w:val="3D306B9A"/>
    <w:rsid w:val="3E2C6DE7"/>
    <w:rsid w:val="3E80785E"/>
    <w:rsid w:val="3F180E14"/>
    <w:rsid w:val="3F663C97"/>
    <w:rsid w:val="3F890995"/>
    <w:rsid w:val="3F975E73"/>
    <w:rsid w:val="411E4475"/>
    <w:rsid w:val="417A38E1"/>
    <w:rsid w:val="41B17625"/>
    <w:rsid w:val="42C414CB"/>
    <w:rsid w:val="42F412F4"/>
    <w:rsid w:val="443417CC"/>
    <w:rsid w:val="448B3D49"/>
    <w:rsid w:val="44E65F41"/>
    <w:rsid w:val="44FF6F3D"/>
    <w:rsid w:val="45B84A42"/>
    <w:rsid w:val="46484626"/>
    <w:rsid w:val="4744666D"/>
    <w:rsid w:val="47F74D4A"/>
    <w:rsid w:val="48F31712"/>
    <w:rsid w:val="493F5664"/>
    <w:rsid w:val="4A3672B4"/>
    <w:rsid w:val="4B5972A6"/>
    <w:rsid w:val="4B704512"/>
    <w:rsid w:val="4CFF4044"/>
    <w:rsid w:val="4D5615E1"/>
    <w:rsid w:val="4D6D4A72"/>
    <w:rsid w:val="4D9907FF"/>
    <w:rsid w:val="4ED60DD5"/>
    <w:rsid w:val="4F846A83"/>
    <w:rsid w:val="4F975776"/>
    <w:rsid w:val="4FDA5DB2"/>
    <w:rsid w:val="4FE25DA0"/>
    <w:rsid w:val="506444A8"/>
    <w:rsid w:val="50764960"/>
    <w:rsid w:val="5116195C"/>
    <w:rsid w:val="513613AB"/>
    <w:rsid w:val="51423895"/>
    <w:rsid w:val="51F17EC1"/>
    <w:rsid w:val="523410C1"/>
    <w:rsid w:val="5255425E"/>
    <w:rsid w:val="527E1EAF"/>
    <w:rsid w:val="532F10C5"/>
    <w:rsid w:val="536F2303"/>
    <w:rsid w:val="545E7D82"/>
    <w:rsid w:val="54933085"/>
    <w:rsid w:val="5528599C"/>
    <w:rsid w:val="55672065"/>
    <w:rsid w:val="566F5670"/>
    <w:rsid w:val="56770197"/>
    <w:rsid w:val="56FD4DFD"/>
    <w:rsid w:val="57790758"/>
    <w:rsid w:val="57A36F6D"/>
    <w:rsid w:val="58036DB9"/>
    <w:rsid w:val="58B71C77"/>
    <w:rsid w:val="5A7661FB"/>
    <w:rsid w:val="5B022EE7"/>
    <w:rsid w:val="5B2740DB"/>
    <w:rsid w:val="5B4A2718"/>
    <w:rsid w:val="5BA74FB4"/>
    <w:rsid w:val="5BC66993"/>
    <w:rsid w:val="5BF23871"/>
    <w:rsid w:val="5C5A1055"/>
    <w:rsid w:val="5C811A92"/>
    <w:rsid w:val="5D107747"/>
    <w:rsid w:val="5DD23992"/>
    <w:rsid w:val="5DF4767B"/>
    <w:rsid w:val="5EA30233"/>
    <w:rsid w:val="5EAF5616"/>
    <w:rsid w:val="5F8D65FE"/>
    <w:rsid w:val="60817F3C"/>
    <w:rsid w:val="60D949B7"/>
    <w:rsid w:val="613B7021"/>
    <w:rsid w:val="61684CC3"/>
    <w:rsid w:val="617D7737"/>
    <w:rsid w:val="621E3395"/>
    <w:rsid w:val="623600B0"/>
    <w:rsid w:val="62A167FD"/>
    <w:rsid w:val="62EE2739"/>
    <w:rsid w:val="637A4921"/>
    <w:rsid w:val="63B569D7"/>
    <w:rsid w:val="644457D2"/>
    <w:rsid w:val="64E41ED7"/>
    <w:rsid w:val="64FE478A"/>
    <w:rsid w:val="65281ADD"/>
    <w:rsid w:val="66905889"/>
    <w:rsid w:val="66B1590D"/>
    <w:rsid w:val="66C878C6"/>
    <w:rsid w:val="66E44DCA"/>
    <w:rsid w:val="66F97F6A"/>
    <w:rsid w:val="673210B6"/>
    <w:rsid w:val="67416711"/>
    <w:rsid w:val="6781505E"/>
    <w:rsid w:val="68093B71"/>
    <w:rsid w:val="68310259"/>
    <w:rsid w:val="6856397E"/>
    <w:rsid w:val="687979B0"/>
    <w:rsid w:val="691629EA"/>
    <w:rsid w:val="69606D0B"/>
    <w:rsid w:val="696403F8"/>
    <w:rsid w:val="69682913"/>
    <w:rsid w:val="6AE56B1D"/>
    <w:rsid w:val="6BA61E8A"/>
    <w:rsid w:val="6BAA41C4"/>
    <w:rsid w:val="6C174FB6"/>
    <w:rsid w:val="6C290706"/>
    <w:rsid w:val="6C5132F4"/>
    <w:rsid w:val="6CDD1E5B"/>
    <w:rsid w:val="6E143AB1"/>
    <w:rsid w:val="6E434EAC"/>
    <w:rsid w:val="6F4A00F0"/>
    <w:rsid w:val="6F943CFE"/>
    <w:rsid w:val="70D27223"/>
    <w:rsid w:val="716E1280"/>
    <w:rsid w:val="72A03324"/>
    <w:rsid w:val="72A13246"/>
    <w:rsid w:val="73381E12"/>
    <w:rsid w:val="738627B9"/>
    <w:rsid w:val="741806B2"/>
    <w:rsid w:val="745054B7"/>
    <w:rsid w:val="7491561A"/>
    <w:rsid w:val="74BC17AF"/>
    <w:rsid w:val="752B2BDF"/>
    <w:rsid w:val="7612346C"/>
    <w:rsid w:val="7638588D"/>
    <w:rsid w:val="76FD2AF3"/>
    <w:rsid w:val="7778661E"/>
    <w:rsid w:val="78D571F1"/>
    <w:rsid w:val="79214EEF"/>
    <w:rsid w:val="7932394E"/>
    <w:rsid w:val="79532E9E"/>
    <w:rsid w:val="796C2691"/>
    <w:rsid w:val="79A703C9"/>
    <w:rsid w:val="7B9F55D9"/>
    <w:rsid w:val="7BB00F91"/>
    <w:rsid w:val="7BFC0C79"/>
    <w:rsid w:val="7C272BFA"/>
    <w:rsid w:val="7C645527"/>
    <w:rsid w:val="7C751A11"/>
    <w:rsid w:val="7CA72569"/>
    <w:rsid w:val="7D1D1AE8"/>
    <w:rsid w:val="7D344D07"/>
    <w:rsid w:val="7DDF5899"/>
    <w:rsid w:val="7E584AB3"/>
    <w:rsid w:val="7E8139F7"/>
    <w:rsid w:val="7EAD3051"/>
    <w:rsid w:val="7ED357CA"/>
    <w:rsid w:val="7FCB05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14" w:firstLineChars="192"/>
    </w:pPr>
    <w:rPr>
      <w:sz w:val="32"/>
    </w:rPr>
  </w:style>
  <w:style w:type="paragraph" w:styleId="3">
    <w:name w:val="footer"/>
    <w:basedOn w:val="1"/>
    <w:link w:val="20"/>
    <w:autoRedefine/>
    <w:qFormat/>
    <w:uiPriority w:val="99"/>
    <w:pPr>
      <w:tabs>
        <w:tab w:val="center" w:pos="4153"/>
        <w:tab w:val="right" w:pos="8306"/>
      </w:tabs>
      <w:snapToGrid w:val="0"/>
      <w:jc w:val="left"/>
    </w:pPr>
    <w:rPr>
      <w:sz w:val="18"/>
      <w:szCs w:val="18"/>
    </w:rPr>
  </w:style>
  <w:style w:type="paragraph" w:styleId="4">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autoRedefine/>
    <w:semiHidden/>
    <w:qFormat/>
    <w:uiPriority w:val="99"/>
    <w:pPr>
      <w:ind w:firstLine="633" w:firstLineChars="200"/>
    </w:pPr>
    <w:rPr>
      <w:rFonts w:ascii="仿宋_GB2312" w:hAnsi="仿宋_GB2312" w:eastAsia="仿宋_GB2312" w:cs="仿宋_GB2312"/>
      <w:b/>
      <w:bCs/>
      <w:w w:val="98"/>
      <w:sz w:val="32"/>
      <w:szCs w:val="32"/>
    </w:rPr>
  </w:style>
  <w:style w:type="paragraph" w:styleId="6">
    <w:name w:val="Normal (Web)"/>
    <w:basedOn w:val="1"/>
    <w:autoRedefine/>
    <w:qFormat/>
    <w:uiPriority w:val="99"/>
    <w:pPr>
      <w:widowControl/>
      <w:spacing w:before="100" w:beforeAutospacing="1" w:after="119"/>
      <w:jc w:val="left"/>
    </w:pPr>
    <w:rPr>
      <w:rFonts w:ascii="宋体" w:hAnsi="宋体" w:cs="宋体"/>
      <w:kern w:val="0"/>
      <w:sz w:val="24"/>
      <w:szCs w:val="24"/>
    </w:rPr>
  </w:style>
  <w:style w:type="character" w:styleId="9">
    <w:name w:val="FollowedHyperlink"/>
    <w:basedOn w:val="8"/>
    <w:autoRedefine/>
    <w:qFormat/>
    <w:uiPriority w:val="99"/>
    <w:rPr>
      <w:color w:val="auto"/>
      <w:u w:val="none"/>
    </w:rPr>
  </w:style>
  <w:style w:type="character" w:styleId="10">
    <w:name w:val="Emphasis"/>
    <w:basedOn w:val="8"/>
    <w:autoRedefine/>
    <w:qFormat/>
    <w:uiPriority w:val="99"/>
    <w:rPr>
      <w:color w:val="auto"/>
    </w:rPr>
  </w:style>
  <w:style w:type="character" w:styleId="11">
    <w:name w:val="Hyperlink"/>
    <w:basedOn w:val="8"/>
    <w:autoRedefine/>
    <w:qFormat/>
    <w:uiPriority w:val="99"/>
    <w:rPr>
      <w:color w:val="auto"/>
      <w:u w:val="none"/>
    </w:rPr>
  </w:style>
  <w:style w:type="character" w:styleId="12">
    <w:name w:val="HTML Cite"/>
    <w:basedOn w:val="8"/>
    <w:autoRedefine/>
    <w:qFormat/>
    <w:uiPriority w:val="99"/>
    <w:rPr>
      <w:color w:val="008000"/>
    </w:rPr>
  </w:style>
  <w:style w:type="paragraph" w:customStyle="1" w:styleId="13">
    <w:name w:val="BodyText1I2"/>
    <w:autoRedefine/>
    <w:qFormat/>
    <w:uiPriority w:val="99"/>
    <w:pPr>
      <w:widowControl w:val="0"/>
      <w:spacing w:after="0" w:line="600" w:lineRule="exact"/>
      <w:ind w:left="0" w:leftChars="0" w:firstLine="420" w:firstLineChars="200"/>
      <w:jc w:val="left"/>
    </w:pPr>
    <w:rPr>
      <w:rFonts w:ascii="方正仿宋简体" w:hAnsi="Calibri Light" w:eastAsia="方正仿宋简体" w:cs="Times New Roman"/>
      <w:kern w:val="2"/>
      <w:sz w:val="21"/>
      <w:szCs w:val="24"/>
      <w:lang w:val="en-US" w:eastAsia="zh-CN" w:bidi="ar-SA"/>
    </w:rPr>
  </w:style>
  <w:style w:type="character" w:customStyle="1" w:styleId="14">
    <w:name w:val="c-icon30"/>
    <w:basedOn w:val="8"/>
    <w:autoRedefine/>
    <w:qFormat/>
    <w:uiPriority w:val="99"/>
  </w:style>
  <w:style w:type="character" w:customStyle="1" w:styleId="15">
    <w:name w:val="hover23"/>
    <w:basedOn w:val="8"/>
    <w:autoRedefine/>
    <w:qFormat/>
    <w:uiPriority w:val="99"/>
  </w:style>
  <w:style w:type="character" w:customStyle="1" w:styleId="16">
    <w:name w:val="hover24"/>
    <w:basedOn w:val="8"/>
    <w:autoRedefine/>
    <w:qFormat/>
    <w:uiPriority w:val="99"/>
    <w:rPr>
      <w:color w:val="auto"/>
    </w:rPr>
  </w:style>
  <w:style w:type="paragraph" w:customStyle="1" w:styleId="17">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8">
    <w:name w:val="fontstyle01"/>
    <w:basedOn w:val="8"/>
    <w:autoRedefine/>
    <w:qFormat/>
    <w:uiPriority w:val="99"/>
    <w:rPr>
      <w:rFonts w:ascii="黑体" w:hAnsi="宋体" w:eastAsia="黑体" w:cs="黑体"/>
      <w:color w:val="000000"/>
      <w:sz w:val="24"/>
      <w:szCs w:val="24"/>
    </w:rPr>
  </w:style>
  <w:style w:type="character" w:customStyle="1" w:styleId="19">
    <w:name w:val="Header Char"/>
    <w:basedOn w:val="8"/>
    <w:link w:val="4"/>
    <w:autoRedefine/>
    <w:semiHidden/>
    <w:qFormat/>
    <w:locked/>
    <w:uiPriority w:val="99"/>
    <w:rPr>
      <w:rFonts w:ascii="Calibri" w:hAnsi="Calibri" w:cs="Calibri"/>
      <w:sz w:val="18"/>
      <w:szCs w:val="18"/>
    </w:rPr>
  </w:style>
  <w:style w:type="character" w:customStyle="1" w:styleId="20">
    <w:name w:val="Footer Char"/>
    <w:basedOn w:val="8"/>
    <w:link w:val="3"/>
    <w:autoRedefine/>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17</Pages>
  <Words>6641</Words>
  <Characters>7555</Characters>
  <Lines>0</Lines>
  <Paragraphs>0</Paragraphs>
  <TotalTime>4</TotalTime>
  <ScaleCrop>false</ScaleCrop>
  <LinksUpToDate>false</LinksUpToDate>
  <CharactersWithSpaces>7708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2021-03-11T01:28:00Z</dcterms:created>
  <dc:creator>Administrator</dc:creator>
  <cp:lastModifiedBy>彭紫叶</cp:lastModifiedBy>
  <cp:lastPrinted>2025-04-29T01:38:01Z</cp:lastPrinted>
  <dcterms:modified xsi:type="dcterms:W3CDTF">2025-04-29T01:38:05Z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4ABE2B374A294BF5AC8D6A23E22E00A1_13</vt:lpwstr>
  </property>
  <property fmtid="{D5CDD505-2E9C-101B-9397-08002B2CF9AE}" pid="4" name="KSOTemplateDocerSaveRecord">
    <vt:lpwstr>eyJoZGlkIjoiYThmNzg5Yjc5OTAwODA3ZjkzOWYyODEyZmNjM2VmOTciLCJ1c2VySWQiOiIzMjk5NzIxNzIifQ==</vt:lpwstr>
  </property>
</Properties>
</file>