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EC13">
      <w:pPr>
        <w:adjustRightInd w:val="0"/>
        <w:spacing w:line="312" w:lineRule="atLeast"/>
        <w:jc w:val="center"/>
        <w:textAlignment w:val="baseline"/>
        <w:rPr>
          <w:rFonts w:hint="eastAsia" w:eastAsia="方正小标宋简体"/>
          <w:color w:val="auto"/>
          <w:kern w:val="0"/>
          <w:sz w:val="52"/>
          <w:szCs w:val="52"/>
          <w:highlight w:val="none"/>
          <w:lang w:val="en-US" w:eastAsia="zh-CN"/>
        </w:rPr>
      </w:pPr>
      <w:bookmarkStart w:id="127" w:name="_GoBack"/>
    </w:p>
    <w:p w14:paraId="76C37D45">
      <w:pPr>
        <w:pStyle w:val="2"/>
        <w:rPr>
          <w:color w:val="auto"/>
          <w:highlight w:val="none"/>
        </w:rPr>
      </w:pPr>
    </w:p>
    <w:p w14:paraId="0669BEDA">
      <w:pPr>
        <w:adjustRightInd w:val="0"/>
        <w:spacing w:line="312" w:lineRule="atLeast"/>
        <w:jc w:val="center"/>
        <w:textAlignment w:val="baseline"/>
        <w:rPr>
          <w:rFonts w:eastAsia="方正小标宋简体"/>
          <w:color w:val="auto"/>
          <w:kern w:val="0"/>
          <w:sz w:val="52"/>
          <w:szCs w:val="52"/>
          <w:highlight w:val="none"/>
        </w:rPr>
      </w:pPr>
    </w:p>
    <w:p w14:paraId="2CB13C8B">
      <w:pPr>
        <w:adjustRightInd w:val="0"/>
        <w:spacing w:line="312" w:lineRule="atLeast"/>
        <w:jc w:val="center"/>
        <w:textAlignment w:val="baseline"/>
        <w:rPr>
          <w:rFonts w:eastAsia="方正小标宋_GBK"/>
          <w:color w:val="auto"/>
          <w:kern w:val="0"/>
          <w:sz w:val="44"/>
          <w:szCs w:val="44"/>
          <w:highlight w:val="none"/>
        </w:rPr>
      </w:pPr>
      <w:r>
        <w:rPr>
          <w:rFonts w:hint="eastAsia" w:eastAsia="方正小标宋_GBK"/>
          <w:color w:val="auto"/>
          <w:kern w:val="0"/>
          <w:sz w:val="44"/>
          <w:szCs w:val="44"/>
          <w:highlight w:val="none"/>
          <w:lang w:eastAsia="zh-CN"/>
        </w:rPr>
        <w:t>2024年度省预算内基本建设专项资金</w:t>
      </w:r>
    </w:p>
    <w:p w14:paraId="55E75B1A">
      <w:pPr>
        <w:adjustRightInd w:val="0"/>
        <w:spacing w:line="312" w:lineRule="atLeast"/>
        <w:jc w:val="center"/>
        <w:textAlignment w:val="baseline"/>
        <w:rPr>
          <w:rFonts w:eastAsia="方正小标宋简体"/>
          <w:color w:val="auto"/>
          <w:kern w:val="0"/>
          <w:sz w:val="52"/>
          <w:szCs w:val="52"/>
          <w:highlight w:val="none"/>
        </w:rPr>
      </w:pPr>
    </w:p>
    <w:p w14:paraId="32FA66DD">
      <w:pPr>
        <w:adjustRightInd w:val="0"/>
        <w:spacing w:line="312" w:lineRule="atLeast"/>
        <w:jc w:val="center"/>
        <w:textAlignment w:val="baseline"/>
        <w:rPr>
          <w:rFonts w:hint="eastAsia" w:eastAsia="方正小标宋_GBK"/>
          <w:color w:val="auto"/>
          <w:kern w:val="0"/>
          <w:sz w:val="44"/>
          <w:szCs w:val="44"/>
          <w:highlight w:val="none"/>
        </w:rPr>
      </w:pPr>
      <w:r>
        <w:rPr>
          <w:rFonts w:hint="eastAsia" w:eastAsia="方正小标宋_GBK"/>
          <w:color w:val="auto"/>
          <w:kern w:val="0"/>
          <w:sz w:val="44"/>
          <w:szCs w:val="44"/>
          <w:highlight w:val="none"/>
        </w:rPr>
        <w:t>绩效自评报告</w:t>
      </w:r>
    </w:p>
    <w:p w14:paraId="48BF3452">
      <w:pPr>
        <w:adjustRightInd w:val="0"/>
        <w:spacing w:line="312" w:lineRule="atLeast"/>
        <w:textAlignment w:val="baseline"/>
        <w:rPr>
          <w:rFonts w:eastAsia="方正小标宋简体"/>
          <w:color w:val="auto"/>
          <w:kern w:val="0"/>
          <w:sz w:val="52"/>
          <w:szCs w:val="52"/>
          <w:highlight w:val="none"/>
        </w:rPr>
      </w:pPr>
    </w:p>
    <w:p w14:paraId="160254D1">
      <w:pPr>
        <w:adjustRightInd w:val="0"/>
        <w:spacing w:line="312" w:lineRule="atLeast"/>
        <w:jc w:val="center"/>
        <w:textAlignment w:val="baseline"/>
        <w:rPr>
          <w:rFonts w:eastAsia="方正小标宋简体"/>
          <w:color w:val="auto"/>
          <w:kern w:val="0"/>
          <w:sz w:val="52"/>
          <w:szCs w:val="52"/>
          <w:highlight w:val="none"/>
        </w:rPr>
      </w:pPr>
    </w:p>
    <w:p w14:paraId="6CC0FDC9">
      <w:pPr>
        <w:adjustRightInd w:val="0"/>
        <w:spacing w:line="312" w:lineRule="atLeast"/>
        <w:textAlignment w:val="baseline"/>
        <w:rPr>
          <w:rFonts w:eastAsia="方正小标宋简体"/>
          <w:color w:val="auto"/>
          <w:kern w:val="0"/>
          <w:sz w:val="52"/>
          <w:szCs w:val="52"/>
          <w:highlight w:val="none"/>
        </w:rPr>
      </w:pPr>
    </w:p>
    <w:p w14:paraId="7B0DA56A">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r>
        <w:rPr>
          <w:rFonts w:hint="eastAsia" w:eastAsia="方正小标宋_GBK"/>
          <w:color w:val="auto"/>
          <w:kern w:val="0"/>
          <w:sz w:val="32"/>
          <w:szCs w:val="32"/>
          <w:highlight w:val="none"/>
        </w:rPr>
        <w:t>项目名称：</w:t>
      </w:r>
      <w:r>
        <w:rPr>
          <w:rFonts w:hint="eastAsia"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lang w:val="en-US" w:eastAsia="zh-CN"/>
        </w:rPr>
        <w:t xml:space="preserve"> </w:t>
      </w:r>
      <w:r>
        <w:rPr>
          <w:rFonts w:hint="eastAsia"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lang w:val="en-US" w:eastAsia="zh-CN"/>
        </w:rPr>
        <w:t xml:space="preserve"> </w:t>
      </w:r>
      <w:r>
        <w:rPr>
          <w:rFonts w:hint="eastAsia" w:eastAsia="方正小标宋_GBK"/>
          <w:color w:val="auto"/>
          <w:kern w:val="0"/>
          <w:sz w:val="32"/>
          <w:szCs w:val="32"/>
          <w:highlight w:val="none"/>
          <w:u w:val="single"/>
          <w:lang w:eastAsia="zh-CN"/>
        </w:rPr>
        <w:t>2024年度省预算内基本建设专项资金</w:t>
      </w:r>
      <w:r>
        <w:rPr>
          <w:rFonts w:hint="eastAsia"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lang w:val="en-US" w:eastAsia="zh-CN"/>
        </w:rPr>
        <w:t xml:space="preserve"> </w:t>
      </w:r>
      <w:r>
        <w:rPr>
          <w:rFonts w:hint="eastAsia" w:eastAsia="方正小标宋_GBK"/>
          <w:color w:val="auto"/>
          <w:kern w:val="0"/>
          <w:sz w:val="32"/>
          <w:szCs w:val="32"/>
          <w:highlight w:val="none"/>
          <w:u w:val="single"/>
        </w:rPr>
        <w:t xml:space="preserve"> </w:t>
      </w:r>
    </w:p>
    <w:p w14:paraId="7CF91C12">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p>
    <w:p w14:paraId="2311461C">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p>
    <w:p w14:paraId="642429E7">
      <w:pPr>
        <w:tabs>
          <w:tab w:val="left" w:pos="7938"/>
        </w:tabs>
        <w:adjustRightInd w:val="0"/>
        <w:spacing w:line="312" w:lineRule="atLeast"/>
        <w:ind w:firstLine="320" w:firstLineChars="100"/>
        <w:jc w:val="left"/>
        <w:textAlignment w:val="baseline"/>
        <w:rPr>
          <w:rFonts w:hint="default" w:eastAsia="方正小标宋_GBK"/>
          <w:color w:val="auto"/>
          <w:kern w:val="0"/>
          <w:sz w:val="32"/>
          <w:szCs w:val="32"/>
          <w:highlight w:val="none"/>
          <w:lang w:val="en-US"/>
        </w:rPr>
      </w:pPr>
      <w:r>
        <w:rPr>
          <w:rFonts w:hint="eastAsia" w:eastAsia="方正小标宋_GBK"/>
          <w:color w:val="auto"/>
          <w:kern w:val="0"/>
          <w:sz w:val="32"/>
          <w:szCs w:val="32"/>
          <w:highlight w:val="none"/>
        </w:rPr>
        <w:t>评价单位：</w:t>
      </w:r>
      <w:r>
        <w:rPr>
          <w:rFonts w:hint="eastAsia" w:eastAsia="方正小标宋_GBK"/>
          <w:color w:val="auto"/>
          <w:kern w:val="0"/>
          <w:sz w:val="32"/>
          <w:szCs w:val="32"/>
          <w:highlight w:val="none"/>
          <w:u w:val="single"/>
          <w:lang w:val="en-US" w:eastAsia="zh-CN"/>
        </w:rPr>
        <w:t xml:space="preserve">        </w:t>
      </w:r>
      <w:r>
        <w:rPr>
          <w:rFonts w:hint="eastAsia" w:eastAsia="方正小标宋_GBK"/>
          <w:color w:val="auto"/>
          <w:kern w:val="0"/>
          <w:sz w:val="32"/>
          <w:szCs w:val="32"/>
          <w:highlight w:val="none"/>
          <w:u w:val="single"/>
        </w:rPr>
        <w:t>省直、各市州项目实施单位</w:t>
      </w:r>
      <w:r>
        <w:rPr>
          <w:rFonts w:hint="eastAsia" w:eastAsia="方正小标宋_GBK"/>
          <w:color w:val="auto"/>
          <w:kern w:val="0"/>
          <w:sz w:val="32"/>
          <w:szCs w:val="32"/>
          <w:highlight w:val="none"/>
          <w:u w:val="single"/>
          <w:lang w:val="en-US" w:eastAsia="zh-CN"/>
        </w:rPr>
        <w:t xml:space="preserve">        </w:t>
      </w:r>
    </w:p>
    <w:p w14:paraId="6828CD9E">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p>
    <w:p w14:paraId="74AD747B">
      <w:pPr>
        <w:tabs>
          <w:tab w:val="left" w:pos="7938"/>
        </w:tabs>
        <w:adjustRightInd w:val="0"/>
        <w:spacing w:line="312" w:lineRule="atLeast"/>
        <w:ind w:firstLine="320" w:firstLineChars="100"/>
        <w:jc w:val="left"/>
        <w:textAlignment w:val="baseline"/>
        <w:rPr>
          <w:rFonts w:eastAsia="方正小标宋_GBK"/>
          <w:color w:val="auto"/>
          <w:kern w:val="0"/>
          <w:sz w:val="32"/>
          <w:szCs w:val="32"/>
          <w:highlight w:val="none"/>
          <w:u w:val="single"/>
        </w:rPr>
      </w:pPr>
    </w:p>
    <w:p w14:paraId="0011E7D9">
      <w:pPr>
        <w:adjustRightInd w:val="0"/>
        <w:spacing w:line="312" w:lineRule="atLeast"/>
        <w:ind w:firstLine="320" w:firstLineChars="100"/>
        <w:jc w:val="left"/>
        <w:textAlignment w:val="baseline"/>
        <w:rPr>
          <w:rFonts w:eastAsia="方正小标宋_GBK"/>
          <w:color w:val="auto"/>
          <w:kern w:val="0"/>
          <w:sz w:val="32"/>
          <w:szCs w:val="32"/>
          <w:highlight w:val="none"/>
        </w:rPr>
      </w:pPr>
      <w:r>
        <w:rPr>
          <w:rFonts w:hint="eastAsia" w:eastAsia="方正小标宋_GBK"/>
          <w:color w:val="auto"/>
          <w:kern w:val="0"/>
          <w:sz w:val="32"/>
          <w:szCs w:val="32"/>
          <w:highlight w:val="none"/>
        </w:rPr>
        <w:t>主管部门：</w:t>
      </w:r>
      <w:r>
        <w:rPr>
          <w:rFonts w:hint="eastAsia"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lang w:val="en-US" w:eastAsia="zh-CN"/>
        </w:rPr>
        <w:t xml:space="preserve"> </w:t>
      </w:r>
      <w:r>
        <w:rPr>
          <w:rFonts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rPr>
        <w:t xml:space="preserve">    湖南省发展和改革委员会  </w:t>
      </w:r>
      <w:r>
        <w:rPr>
          <w:rFonts w:hint="eastAsia" w:eastAsia="方正小标宋_GBK"/>
          <w:color w:val="auto"/>
          <w:kern w:val="0"/>
          <w:sz w:val="32"/>
          <w:szCs w:val="32"/>
          <w:highlight w:val="none"/>
          <w:u w:val="single"/>
          <w:lang w:val="en-US" w:eastAsia="zh-CN"/>
        </w:rPr>
        <w:t xml:space="preserve"> </w:t>
      </w:r>
      <w:r>
        <w:rPr>
          <w:rFonts w:eastAsia="方正小标宋_GBK"/>
          <w:color w:val="auto"/>
          <w:kern w:val="0"/>
          <w:sz w:val="32"/>
          <w:szCs w:val="32"/>
          <w:highlight w:val="none"/>
          <w:u w:val="single"/>
        </w:rPr>
        <w:t xml:space="preserve">  </w:t>
      </w:r>
      <w:r>
        <w:rPr>
          <w:rFonts w:hint="eastAsia" w:eastAsia="方正小标宋_GBK"/>
          <w:color w:val="auto"/>
          <w:kern w:val="0"/>
          <w:sz w:val="32"/>
          <w:szCs w:val="32"/>
          <w:highlight w:val="none"/>
          <w:u w:val="single"/>
        </w:rPr>
        <w:t xml:space="preserve">    </w:t>
      </w:r>
    </w:p>
    <w:p w14:paraId="4C36C44D">
      <w:pPr>
        <w:adjustRightInd w:val="0"/>
        <w:spacing w:line="312" w:lineRule="atLeast"/>
        <w:jc w:val="center"/>
        <w:textAlignment w:val="baseline"/>
        <w:rPr>
          <w:rFonts w:eastAsia="方正小标宋简体"/>
          <w:color w:val="auto"/>
          <w:kern w:val="0"/>
          <w:sz w:val="52"/>
          <w:szCs w:val="52"/>
          <w:highlight w:val="none"/>
        </w:rPr>
      </w:pPr>
    </w:p>
    <w:p w14:paraId="316CF6DB">
      <w:pPr>
        <w:adjustRightInd w:val="0"/>
        <w:spacing w:line="312" w:lineRule="atLeast"/>
        <w:textAlignment w:val="baseline"/>
        <w:rPr>
          <w:rFonts w:eastAsia="方正小标宋简体"/>
          <w:color w:val="auto"/>
          <w:kern w:val="0"/>
          <w:sz w:val="52"/>
          <w:szCs w:val="52"/>
          <w:highlight w:val="none"/>
        </w:rPr>
      </w:pPr>
    </w:p>
    <w:p w14:paraId="277731CC">
      <w:pPr>
        <w:adjustRightInd w:val="0"/>
        <w:spacing w:line="312" w:lineRule="atLeast"/>
        <w:textAlignment w:val="baseline"/>
        <w:rPr>
          <w:rFonts w:eastAsia="方正小标宋简体"/>
          <w:color w:val="auto"/>
          <w:kern w:val="0"/>
          <w:sz w:val="52"/>
          <w:szCs w:val="52"/>
          <w:highlight w:val="none"/>
        </w:rPr>
      </w:pPr>
    </w:p>
    <w:p w14:paraId="7E84AA64">
      <w:pPr>
        <w:adjustRightInd w:val="0"/>
        <w:spacing w:line="312" w:lineRule="atLeast"/>
        <w:ind w:firstLine="321" w:firstLineChars="100"/>
        <w:jc w:val="center"/>
        <w:textAlignment w:val="baseline"/>
        <w:rPr>
          <w:rFonts w:eastAsia="楷体_GB2312"/>
          <w:b/>
          <w:color w:val="auto"/>
          <w:kern w:val="0"/>
          <w:sz w:val="32"/>
          <w:szCs w:val="32"/>
          <w:highlight w:val="none"/>
        </w:rPr>
      </w:pPr>
      <w:r>
        <w:rPr>
          <w:rFonts w:hint="eastAsia" w:eastAsia="楷体_GB2312"/>
          <w:b/>
          <w:color w:val="auto"/>
          <w:kern w:val="0"/>
          <w:sz w:val="32"/>
          <w:szCs w:val="32"/>
          <w:highlight w:val="none"/>
        </w:rPr>
        <w:t>报告日期：202</w:t>
      </w:r>
      <w:r>
        <w:rPr>
          <w:rFonts w:hint="eastAsia" w:eastAsia="楷体_GB2312"/>
          <w:b/>
          <w:color w:val="auto"/>
          <w:kern w:val="0"/>
          <w:sz w:val="32"/>
          <w:szCs w:val="32"/>
          <w:highlight w:val="none"/>
          <w:lang w:val="en-US" w:eastAsia="zh-CN"/>
        </w:rPr>
        <w:t>5</w:t>
      </w:r>
      <w:r>
        <w:rPr>
          <w:rFonts w:hint="eastAsia" w:eastAsia="楷体_GB2312"/>
          <w:b/>
          <w:color w:val="auto"/>
          <w:kern w:val="0"/>
          <w:sz w:val="32"/>
          <w:szCs w:val="32"/>
          <w:highlight w:val="none"/>
        </w:rPr>
        <w:t>年</w:t>
      </w:r>
      <w:r>
        <w:rPr>
          <w:rFonts w:hint="eastAsia" w:eastAsia="楷体_GB2312"/>
          <w:b/>
          <w:color w:val="auto"/>
          <w:kern w:val="0"/>
          <w:sz w:val="32"/>
          <w:szCs w:val="32"/>
          <w:highlight w:val="none"/>
          <w:lang w:val="en-US" w:eastAsia="zh-CN"/>
        </w:rPr>
        <w:t>4</w:t>
      </w:r>
      <w:r>
        <w:rPr>
          <w:rFonts w:hint="eastAsia" w:eastAsia="楷体_GB2312"/>
          <w:b/>
          <w:color w:val="auto"/>
          <w:kern w:val="0"/>
          <w:sz w:val="32"/>
          <w:szCs w:val="32"/>
          <w:highlight w:val="none"/>
        </w:rPr>
        <w:t>月</w:t>
      </w:r>
      <w:r>
        <w:rPr>
          <w:rFonts w:hint="eastAsia" w:eastAsia="楷体_GB2312"/>
          <w:b/>
          <w:color w:val="auto"/>
          <w:kern w:val="0"/>
          <w:sz w:val="32"/>
          <w:szCs w:val="32"/>
          <w:highlight w:val="none"/>
          <w:lang w:val="en-US" w:eastAsia="zh-CN"/>
        </w:rPr>
        <w:t>16</w:t>
      </w:r>
      <w:r>
        <w:rPr>
          <w:rFonts w:hint="eastAsia" w:eastAsia="楷体_GB2312"/>
          <w:b/>
          <w:color w:val="auto"/>
          <w:kern w:val="0"/>
          <w:sz w:val="32"/>
          <w:szCs w:val="32"/>
          <w:highlight w:val="none"/>
        </w:rPr>
        <w:t>日</w:t>
      </w:r>
    </w:p>
    <w:p w14:paraId="2237E70C">
      <w:pPr>
        <w:keepNext w:val="0"/>
        <w:keepLines w:val="0"/>
        <w:pageBreakBefore w:val="0"/>
        <w:widowControl w:val="0"/>
        <w:kinsoku/>
        <w:wordWrap/>
        <w:overflowPunct/>
        <w:topLinePunct w:val="0"/>
        <w:autoSpaceDE/>
        <w:autoSpaceDN/>
        <w:bidi w:val="0"/>
        <w:adjustRightInd w:val="0"/>
        <w:snapToGrid/>
        <w:spacing w:line="312" w:lineRule="atLeast"/>
        <w:ind w:firstLine="321" w:firstLineChars="100"/>
        <w:jc w:val="center"/>
        <w:textAlignment w:val="baseline"/>
        <w:outlineLvl w:val="9"/>
        <w:rPr>
          <w:rFonts w:eastAsia="楷体_GB2312"/>
          <w:b/>
          <w:color w:val="auto"/>
          <w:kern w:val="0"/>
          <w:sz w:val="32"/>
          <w:szCs w:val="32"/>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Toc10172"/>
      <w:bookmarkStart w:id="1" w:name="_Toc31441"/>
      <w:bookmarkStart w:id="2" w:name="_Toc8585"/>
      <w:bookmarkStart w:id="3" w:name="_Toc30740"/>
      <w:bookmarkStart w:id="4" w:name="_Toc6873"/>
      <w:bookmarkStart w:id="5" w:name="_Toc13627"/>
      <w:r>
        <w:rPr>
          <w:rFonts w:hint="eastAsia" w:eastAsia="楷体_GB2312"/>
          <w:b/>
          <w:color w:val="auto"/>
          <w:kern w:val="0"/>
          <w:sz w:val="32"/>
          <w:szCs w:val="32"/>
          <w:highlight w:val="none"/>
        </w:rPr>
        <w:t>编制单位：湖南省发展和改革委员会</w:t>
      </w:r>
      <w:bookmarkEnd w:id="0"/>
      <w:bookmarkEnd w:id="1"/>
      <w:bookmarkEnd w:id="2"/>
      <w:bookmarkEnd w:id="3"/>
      <w:bookmarkEnd w:id="4"/>
      <w:bookmarkEnd w:id="5"/>
    </w:p>
    <w:sdt>
      <w:sdtPr>
        <w:rPr>
          <w:rFonts w:ascii="宋体" w:hAnsi="宋体" w:eastAsia="宋体" w:cs="Times New Roman"/>
          <w:color w:val="auto"/>
          <w:kern w:val="2"/>
          <w:sz w:val="21"/>
          <w:szCs w:val="24"/>
          <w:highlight w:val="none"/>
          <w:lang w:val="en-US" w:eastAsia="zh-CN" w:bidi="ar-SA"/>
        </w:rPr>
        <w:id w:val="147460311"/>
        <w15:color w:val="DBDBDB"/>
        <w:docPartObj>
          <w:docPartGallery w:val="Table of Contents"/>
          <w:docPartUnique/>
        </w:docPartObj>
      </w:sdtPr>
      <w:sdtEndPr>
        <w:rPr>
          <w:rFonts w:ascii="Times New Roman" w:hAnsi="Times New Roman" w:eastAsia="仿宋_GB2312" w:cs="Times New Roman"/>
          <w:b/>
          <w:color w:val="auto"/>
          <w:kern w:val="2"/>
          <w:sz w:val="21"/>
          <w:szCs w:val="24"/>
          <w:highlight w:val="none"/>
          <w:lang w:val="en-US" w:eastAsia="zh-CN" w:bidi="ar-SA"/>
        </w:rPr>
      </w:sdtEndPr>
      <w:sdtContent>
        <w:p w14:paraId="0DA64C9A">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highlight w:val="none"/>
              <w:lang w:val="en-US" w:eastAsia="zh-CN" w:bidi="ar-SA"/>
            </w:rPr>
          </w:pPr>
        </w:p>
        <w:p w14:paraId="248A958C">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highlight w:val="none"/>
              <w:lang w:val="en-US" w:eastAsia="zh-CN" w:bidi="ar-SA"/>
            </w:rPr>
          </w:pPr>
        </w:p>
        <w:p w14:paraId="1CC68148">
          <w:pPr>
            <w:spacing w:before="0" w:beforeLines="0" w:after="0" w:afterLines="0" w:line="240" w:lineRule="auto"/>
            <w:ind w:left="0" w:leftChars="0" w:right="0" w:rightChars="0" w:firstLine="0" w:firstLineChars="0"/>
            <w:jc w:val="center"/>
            <w:rPr>
              <w:rFonts w:hint="default" w:ascii="Times New Roman" w:hAnsi="Times New Roman" w:eastAsia="仿宋" w:cs="Times New Roman"/>
              <w:b/>
              <w:bCs/>
              <w:color w:val="auto"/>
              <w:sz w:val="44"/>
              <w:szCs w:val="44"/>
              <w:highlight w:val="none"/>
            </w:rPr>
          </w:pPr>
          <w:r>
            <w:rPr>
              <w:rFonts w:hint="default" w:ascii="Times New Roman" w:hAnsi="Times New Roman" w:eastAsia="仿宋" w:cs="Times New Roman"/>
              <w:b/>
              <w:bCs/>
              <w:color w:val="auto"/>
              <w:sz w:val="44"/>
              <w:szCs w:val="44"/>
              <w:highlight w:val="none"/>
            </w:rPr>
            <w:t>目</w:t>
          </w:r>
          <w:r>
            <w:rPr>
              <w:rFonts w:hint="eastAsia" w:ascii="Times New Roman" w:hAnsi="Times New Roman" w:eastAsia="仿宋" w:cs="Times New Roman"/>
              <w:b/>
              <w:bCs/>
              <w:color w:val="auto"/>
              <w:sz w:val="44"/>
              <w:szCs w:val="44"/>
              <w:highlight w:val="none"/>
              <w:lang w:val="en-US" w:eastAsia="zh-CN"/>
            </w:rPr>
            <w:t xml:space="preserve">  </w:t>
          </w:r>
          <w:r>
            <w:rPr>
              <w:rFonts w:hint="default" w:ascii="Times New Roman" w:hAnsi="Times New Roman" w:eastAsia="仿宋" w:cs="Times New Roman"/>
              <w:b/>
              <w:bCs/>
              <w:color w:val="auto"/>
              <w:sz w:val="44"/>
              <w:szCs w:val="44"/>
              <w:highlight w:val="none"/>
            </w:rPr>
            <w:t>录</w:t>
          </w:r>
        </w:p>
        <w:p w14:paraId="71D9DBBE">
          <w:pPr>
            <w:pStyle w:val="14"/>
            <w:tabs>
              <w:tab w:val="right" w:leader="dot" w:pos="8781"/>
              <w:tab w:val="clear" w:pos="840"/>
              <w:tab w:val="clear" w:pos="8296"/>
            </w:tabs>
            <w:rPr>
              <w:color w:val="auto"/>
              <w:highlight w:val="none"/>
            </w:rPr>
          </w:pPr>
          <w:r>
            <w:rPr>
              <w:rFonts w:eastAsia="仿宋_GB2312"/>
              <w:color w:val="auto"/>
              <w:sz w:val="32"/>
              <w:highlight w:val="none"/>
              <w:lang w:val="en-US"/>
            </w:rPr>
            <w:fldChar w:fldCharType="begin"/>
          </w:r>
          <w:r>
            <w:rPr>
              <w:rFonts w:eastAsia="仿宋_GB2312"/>
              <w:color w:val="auto"/>
              <w:sz w:val="32"/>
              <w:highlight w:val="none"/>
              <w:lang w:val="en-US"/>
            </w:rPr>
            <w:instrText xml:space="preserve">TOC \o "1-2" \h \u </w:instrText>
          </w:r>
          <w:r>
            <w:rPr>
              <w:rFonts w:eastAsia="仿宋_GB2312"/>
              <w:color w:val="auto"/>
              <w:sz w:val="32"/>
              <w:highlight w:val="none"/>
              <w:lang w:val="en-US"/>
            </w:rPr>
            <w:fldChar w:fldCharType="separate"/>
          </w:r>
          <w:r>
            <w:rPr>
              <w:rFonts w:hint="eastAsia" w:ascii="黑体" w:hAnsi="黑体" w:eastAsia="黑体" w:cs="黑体"/>
              <w:b w:val="0"/>
              <w:bCs w:val="0"/>
              <w:color w:val="auto"/>
              <w:kern w:val="0"/>
              <w:sz w:val="32"/>
              <w:szCs w:val="32"/>
              <w:highlight w:val="none"/>
              <w:lang w:val="en-US" w:eastAsia="zh-CN" w:bidi="ar-SA"/>
            </w:rPr>
            <w:fldChar w:fldCharType="begin"/>
          </w:r>
          <w:r>
            <w:rPr>
              <w:rFonts w:hint="eastAsia" w:ascii="黑体" w:hAnsi="黑体" w:eastAsia="黑体" w:cs="黑体"/>
              <w:b w:val="0"/>
              <w:bCs w:val="0"/>
              <w:color w:val="auto"/>
              <w:kern w:val="0"/>
              <w:sz w:val="32"/>
              <w:szCs w:val="32"/>
              <w:highlight w:val="none"/>
              <w:lang w:val="en-US" w:eastAsia="zh-CN" w:bidi="ar-SA"/>
            </w:rPr>
            <w:instrText xml:space="preserve"> HYPERLINK \l _Toc11769 </w:instrText>
          </w:r>
          <w:r>
            <w:rPr>
              <w:rFonts w:hint="eastAsia" w:ascii="黑体" w:hAnsi="黑体" w:eastAsia="黑体" w:cs="黑体"/>
              <w:b w:val="0"/>
              <w:bCs w:val="0"/>
              <w:color w:val="auto"/>
              <w:kern w:val="0"/>
              <w:sz w:val="32"/>
              <w:szCs w:val="32"/>
              <w:highlight w:val="none"/>
              <w:lang w:val="en-US" w:eastAsia="zh-CN" w:bidi="ar-SA"/>
            </w:rPr>
            <w:fldChar w:fldCharType="separate"/>
          </w:r>
          <w:r>
            <w:rPr>
              <w:rFonts w:hint="eastAsia" w:ascii="黑体" w:hAnsi="黑体" w:eastAsia="黑体" w:cs="黑体"/>
              <w:b w:val="0"/>
              <w:bCs w:val="0"/>
              <w:color w:val="auto"/>
              <w:kern w:val="0"/>
              <w:sz w:val="32"/>
              <w:szCs w:val="32"/>
              <w:highlight w:val="none"/>
              <w:lang w:val="en-US" w:eastAsia="zh-CN" w:bidi="ar-SA"/>
            </w:rPr>
            <w:t>一、预算支出基本情况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_Toc11769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黑体" w:hAnsi="黑体" w:eastAsia="黑体" w:cs="黑体"/>
              <w:b w:val="0"/>
              <w:bCs w:val="0"/>
              <w:color w:val="auto"/>
              <w:kern w:val="0"/>
              <w:sz w:val="32"/>
              <w:szCs w:val="32"/>
              <w:highlight w:val="none"/>
              <w:lang w:val="en-US" w:eastAsia="zh-CN" w:bidi="ar-SA"/>
            </w:rPr>
            <w:fldChar w:fldCharType="end"/>
          </w:r>
        </w:p>
        <w:p w14:paraId="062ED7BF">
          <w:pPr>
            <w:pStyle w:val="15"/>
            <w:tabs>
              <w:tab w:val="right" w:leader="dot" w:pos="8781"/>
            </w:tabs>
            <w:ind w:firstLine="320" w:firstLineChars="100"/>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_Toc10655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（一）预算支出概况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_Toc10655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000B4904">
          <w:pPr>
            <w:pStyle w:val="15"/>
            <w:tabs>
              <w:tab w:val="right" w:leader="dot" w:pos="8781"/>
            </w:tabs>
            <w:ind w:firstLine="320" w:firstLineChars="100"/>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_Toc8074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（二）预算资金使用管理情况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_Toc8074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3</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3A149043">
          <w:pPr>
            <w:pStyle w:val="15"/>
            <w:tabs>
              <w:tab w:val="right" w:leader="dot" w:pos="8781"/>
            </w:tabs>
            <w:ind w:firstLine="320" w:firstLineChars="100"/>
            <w:rPr>
              <w:color w:val="auto"/>
              <w:highlight w:val="none"/>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_Toc3428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（三）预算支出绩效目标完成程度</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_Toc3428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7</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366217B8">
          <w:pPr>
            <w:pStyle w:val="14"/>
            <w:tabs>
              <w:tab w:val="right" w:leader="dot" w:pos="8781"/>
              <w:tab w:val="clear" w:pos="840"/>
              <w:tab w:val="clear" w:pos="8296"/>
            </w:tabs>
            <w:rPr>
              <w:color w:val="auto"/>
              <w:highlight w:val="none"/>
            </w:rPr>
          </w:pPr>
          <w:r>
            <w:rPr>
              <w:rFonts w:hint="eastAsia" w:ascii="黑体" w:hAnsi="黑体" w:eastAsia="黑体" w:cs="黑体"/>
              <w:b w:val="0"/>
              <w:bCs w:val="0"/>
              <w:color w:val="auto"/>
              <w:kern w:val="0"/>
              <w:sz w:val="32"/>
              <w:szCs w:val="32"/>
              <w:highlight w:val="none"/>
              <w:lang w:val="en-US" w:eastAsia="zh-CN" w:bidi="ar-SA"/>
            </w:rPr>
            <w:fldChar w:fldCharType="begin"/>
          </w:r>
          <w:r>
            <w:rPr>
              <w:rFonts w:hint="eastAsia" w:ascii="黑体" w:hAnsi="黑体" w:eastAsia="黑体" w:cs="黑体"/>
              <w:b w:val="0"/>
              <w:bCs w:val="0"/>
              <w:color w:val="auto"/>
              <w:kern w:val="0"/>
              <w:sz w:val="32"/>
              <w:szCs w:val="32"/>
              <w:highlight w:val="none"/>
              <w:lang w:val="en-US" w:eastAsia="zh-CN" w:bidi="ar-SA"/>
            </w:rPr>
            <w:instrText xml:space="preserve"> HYPERLINK \l _Toc30329 </w:instrText>
          </w:r>
          <w:r>
            <w:rPr>
              <w:rFonts w:hint="eastAsia" w:ascii="黑体" w:hAnsi="黑体" w:eastAsia="黑体" w:cs="黑体"/>
              <w:b w:val="0"/>
              <w:bCs w:val="0"/>
              <w:color w:val="auto"/>
              <w:kern w:val="0"/>
              <w:sz w:val="32"/>
              <w:szCs w:val="32"/>
              <w:highlight w:val="none"/>
              <w:lang w:val="en-US" w:eastAsia="zh-CN" w:bidi="ar-SA"/>
            </w:rPr>
            <w:fldChar w:fldCharType="separate"/>
          </w:r>
          <w:r>
            <w:rPr>
              <w:rFonts w:hint="eastAsia" w:ascii="黑体" w:hAnsi="黑体" w:eastAsia="黑体" w:cs="黑体"/>
              <w:b w:val="0"/>
              <w:bCs w:val="0"/>
              <w:color w:val="auto"/>
              <w:kern w:val="0"/>
              <w:sz w:val="32"/>
              <w:szCs w:val="32"/>
              <w:highlight w:val="none"/>
              <w:lang w:val="en-US" w:eastAsia="zh-CN" w:bidi="ar-SA"/>
            </w:rPr>
            <w:t>二、绩效评价工作情况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_Toc30329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9</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黑体" w:hAnsi="黑体" w:eastAsia="黑体" w:cs="黑体"/>
              <w:b w:val="0"/>
              <w:bCs w:val="0"/>
              <w:color w:val="auto"/>
              <w:kern w:val="0"/>
              <w:sz w:val="32"/>
              <w:szCs w:val="32"/>
              <w:highlight w:val="none"/>
              <w:lang w:val="en-US" w:eastAsia="zh-CN" w:bidi="ar-SA"/>
            </w:rPr>
            <w:fldChar w:fldCharType="end"/>
          </w:r>
        </w:p>
        <w:p w14:paraId="2EE3E51D">
          <w:pPr>
            <w:pStyle w:val="14"/>
            <w:tabs>
              <w:tab w:val="right" w:leader="dot" w:pos="8781"/>
              <w:tab w:val="clear" w:pos="840"/>
              <w:tab w:val="clear" w:pos="8296"/>
            </w:tabs>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fldChar w:fldCharType="begin"/>
          </w:r>
          <w:r>
            <w:rPr>
              <w:rFonts w:hint="eastAsia" w:ascii="黑体" w:hAnsi="黑体" w:eastAsia="黑体" w:cs="黑体"/>
              <w:b w:val="0"/>
              <w:bCs w:val="0"/>
              <w:color w:val="auto"/>
              <w:kern w:val="0"/>
              <w:sz w:val="32"/>
              <w:szCs w:val="32"/>
              <w:highlight w:val="none"/>
              <w:lang w:val="en-US" w:eastAsia="zh-CN" w:bidi="ar-SA"/>
            </w:rPr>
            <w:instrText xml:space="preserve"> HYPERLINK \l _Toc32512 </w:instrText>
          </w:r>
          <w:r>
            <w:rPr>
              <w:rFonts w:hint="eastAsia" w:ascii="黑体" w:hAnsi="黑体" w:eastAsia="黑体" w:cs="黑体"/>
              <w:b w:val="0"/>
              <w:bCs w:val="0"/>
              <w:color w:val="auto"/>
              <w:kern w:val="0"/>
              <w:sz w:val="32"/>
              <w:szCs w:val="32"/>
              <w:highlight w:val="none"/>
              <w:lang w:val="en-US" w:eastAsia="zh-CN" w:bidi="ar-SA"/>
            </w:rPr>
            <w:fldChar w:fldCharType="separate"/>
          </w:r>
          <w:r>
            <w:rPr>
              <w:rFonts w:hint="eastAsia" w:ascii="黑体" w:hAnsi="黑体" w:eastAsia="黑体" w:cs="黑体"/>
              <w:b w:val="0"/>
              <w:bCs w:val="0"/>
              <w:color w:val="auto"/>
              <w:kern w:val="0"/>
              <w:sz w:val="32"/>
              <w:szCs w:val="32"/>
              <w:highlight w:val="none"/>
              <w:lang w:val="en-US" w:eastAsia="zh-CN" w:bidi="ar-SA"/>
            </w:rPr>
            <w:t>三、预算支出主要绩效及评价结论</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_Toc32512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10</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黑体" w:hAnsi="黑体" w:eastAsia="黑体" w:cs="黑体"/>
              <w:b w:val="0"/>
              <w:bCs w:val="0"/>
              <w:color w:val="auto"/>
              <w:kern w:val="0"/>
              <w:sz w:val="32"/>
              <w:szCs w:val="32"/>
              <w:highlight w:val="none"/>
              <w:lang w:val="en-US" w:eastAsia="zh-CN" w:bidi="ar-SA"/>
            </w:rPr>
            <w:fldChar w:fldCharType="end"/>
          </w:r>
        </w:p>
        <w:p w14:paraId="7833DB0A">
          <w:pPr>
            <w:pStyle w:val="15"/>
            <w:tabs>
              <w:tab w:val="right" w:leader="dot" w:pos="8781"/>
            </w:tabs>
            <w:ind w:firstLine="320" w:firstLineChars="100"/>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_Toc18182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（一）主要绩效情况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_Toc18182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10</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595BB2FA">
          <w:pPr>
            <w:pStyle w:val="15"/>
            <w:tabs>
              <w:tab w:val="right" w:leader="dot" w:pos="8781"/>
            </w:tabs>
            <w:ind w:firstLine="320" w:firstLineChars="100"/>
            <w:rPr>
              <w:rFonts w:ascii="Times New Roman" w:hAnsi="Times New Roman" w:eastAsia="仿宋_GB2312" w:cs="Times New Roman"/>
              <w:color w:val="auto"/>
              <w:highlight w:val="none"/>
              <w:lang w:val="en-US"/>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_Toc848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（二）评价结论</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_Toc848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12</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2F43908A">
          <w:pPr>
            <w:pStyle w:val="14"/>
            <w:tabs>
              <w:tab w:val="right" w:leader="dot" w:pos="8781"/>
              <w:tab w:val="clear" w:pos="840"/>
              <w:tab w:val="clear" w:pos="8296"/>
            </w:tabs>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fldChar w:fldCharType="begin"/>
          </w:r>
          <w:r>
            <w:rPr>
              <w:rFonts w:hint="eastAsia" w:ascii="黑体" w:hAnsi="黑体" w:eastAsia="黑体" w:cs="黑体"/>
              <w:b w:val="0"/>
              <w:bCs w:val="0"/>
              <w:color w:val="auto"/>
              <w:kern w:val="0"/>
              <w:sz w:val="32"/>
              <w:szCs w:val="32"/>
              <w:highlight w:val="none"/>
              <w:lang w:val="en-US" w:eastAsia="zh-CN" w:bidi="ar-SA"/>
            </w:rPr>
            <w:instrText xml:space="preserve"> HYPERLINK \l _Toc9681 </w:instrText>
          </w:r>
          <w:r>
            <w:rPr>
              <w:rFonts w:hint="eastAsia" w:ascii="黑体" w:hAnsi="黑体" w:eastAsia="黑体" w:cs="黑体"/>
              <w:b w:val="0"/>
              <w:bCs w:val="0"/>
              <w:color w:val="auto"/>
              <w:kern w:val="0"/>
              <w:sz w:val="32"/>
              <w:szCs w:val="32"/>
              <w:highlight w:val="none"/>
              <w:lang w:val="en-US" w:eastAsia="zh-CN" w:bidi="ar-SA"/>
            </w:rPr>
            <w:fldChar w:fldCharType="separate"/>
          </w:r>
          <w:r>
            <w:rPr>
              <w:rFonts w:hint="eastAsia" w:ascii="黑体" w:hAnsi="黑体" w:eastAsia="黑体" w:cs="黑体"/>
              <w:b w:val="0"/>
              <w:bCs w:val="0"/>
              <w:color w:val="auto"/>
              <w:kern w:val="0"/>
              <w:sz w:val="32"/>
              <w:szCs w:val="32"/>
              <w:highlight w:val="none"/>
              <w:lang w:val="en-US" w:eastAsia="zh-CN" w:bidi="ar-SA"/>
            </w:rPr>
            <w:t>四、绩效自评指标分析</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_Toc9681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12</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黑体" w:hAnsi="黑体" w:eastAsia="黑体" w:cs="黑体"/>
              <w:b w:val="0"/>
              <w:bCs w:val="0"/>
              <w:color w:val="auto"/>
              <w:kern w:val="0"/>
              <w:sz w:val="32"/>
              <w:szCs w:val="32"/>
              <w:highlight w:val="none"/>
              <w:lang w:val="en-US" w:eastAsia="zh-CN" w:bidi="ar-SA"/>
            </w:rPr>
            <w:fldChar w:fldCharType="end"/>
          </w:r>
        </w:p>
        <w:p w14:paraId="719D5ADD">
          <w:pPr>
            <w:pStyle w:val="15"/>
            <w:tabs>
              <w:tab w:val="right" w:leader="dot" w:pos="8781"/>
            </w:tabs>
            <w:ind w:firstLine="320" w:firstLineChars="100"/>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_Toc15068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（一）预算执行率完成情况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_Toc15068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12</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79D2999C">
          <w:pPr>
            <w:pStyle w:val="15"/>
            <w:tabs>
              <w:tab w:val="right" w:leader="dot" w:pos="8781"/>
            </w:tabs>
            <w:ind w:firstLine="320" w:firstLineChars="100"/>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_Toc15877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（二）产出指标完成情况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_Toc15877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12</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6FB23337">
          <w:pPr>
            <w:pStyle w:val="15"/>
            <w:tabs>
              <w:tab w:val="right" w:leader="dot" w:pos="8781"/>
            </w:tabs>
            <w:ind w:firstLine="320" w:firstLineChars="100"/>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_Toc1505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（三）效益指标完成情况</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_Toc1505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13</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4B552AF1">
          <w:pPr>
            <w:pStyle w:val="15"/>
            <w:tabs>
              <w:tab w:val="right" w:leader="dot" w:pos="8781"/>
            </w:tabs>
            <w:ind w:firstLine="320" w:firstLineChars="100"/>
            <w:rPr>
              <w:color w:val="auto"/>
              <w:highlight w:val="none"/>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_Toc12726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（四）服务对象满意度指标</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_Toc12726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13</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6CBA2134">
          <w:pPr>
            <w:pStyle w:val="14"/>
            <w:tabs>
              <w:tab w:val="right" w:leader="dot" w:pos="8781"/>
              <w:tab w:val="clear" w:pos="840"/>
              <w:tab w:val="clear" w:pos="8296"/>
            </w:tabs>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fldChar w:fldCharType="begin"/>
          </w:r>
          <w:r>
            <w:rPr>
              <w:rFonts w:hint="eastAsia" w:ascii="黑体" w:hAnsi="黑体" w:eastAsia="黑体" w:cs="黑体"/>
              <w:b w:val="0"/>
              <w:bCs w:val="0"/>
              <w:color w:val="auto"/>
              <w:kern w:val="0"/>
              <w:sz w:val="32"/>
              <w:szCs w:val="32"/>
              <w:highlight w:val="none"/>
              <w:lang w:val="en-US" w:eastAsia="zh-CN" w:bidi="ar-SA"/>
            </w:rPr>
            <w:instrText xml:space="preserve"> HYPERLINK \l _Toc32168 </w:instrText>
          </w:r>
          <w:r>
            <w:rPr>
              <w:rFonts w:hint="eastAsia" w:ascii="黑体" w:hAnsi="黑体" w:eastAsia="黑体" w:cs="黑体"/>
              <w:b w:val="0"/>
              <w:bCs w:val="0"/>
              <w:color w:val="auto"/>
              <w:kern w:val="0"/>
              <w:sz w:val="32"/>
              <w:szCs w:val="32"/>
              <w:highlight w:val="none"/>
              <w:lang w:val="en-US" w:eastAsia="zh-CN" w:bidi="ar-SA"/>
            </w:rPr>
            <w:fldChar w:fldCharType="separate"/>
          </w:r>
          <w:r>
            <w:rPr>
              <w:rFonts w:hint="eastAsia" w:ascii="黑体" w:hAnsi="黑体" w:eastAsia="黑体" w:cs="黑体"/>
              <w:b w:val="0"/>
              <w:bCs w:val="0"/>
              <w:color w:val="auto"/>
              <w:kern w:val="0"/>
              <w:sz w:val="32"/>
              <w:szCs w:val="32"/>
              <w:highlight w:val="none"/>
              <w:lang w:val="en-US" w:eastAsia="zh-CN" w:bidi="ar-SA"/>
            </w:rPr>
            <w:t>五、主要经验及做法、存在的问题及原因分析</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_Toc32168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13</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黑体" w:hAnsi="黑体" w:eastAsia="黑体" w:cs="黑体"/>
              <w:b w:val="0"/>
              <w:bCs w:val="0"/>
              <w:color w:val="auto"/>
              <w:kern w:val="0"/>
              <w:sz w:val="32"/>
              <w:szCs w:val="32"/>
              <w:highlight w:val="none"/>
              <w:lang w:val="en-US" w:eastAsia="zh-CN" w:bidi="ar-SA"/>
            </w:rPr>
            <w:fldChar w:fldCharType="end"/>
          </w:r>
        </w:p>
        <w:p w14:paraId="194F9DD9">
          <w:pPr>
            <w:pStyle w:val="15"/>
            <w:tabs>
              <w:tab w:val="right" w:leader="dot" w:pos="8781"/>
            </w:tabs>
            <w:ind w:firstLine="320" w:firstLineChars="100"/>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_Toc24179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（一）主要经验及做法</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_Toc24179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13</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31C4BAF8">
          <w:pPr>
            <w:pStyle w:val="15"/>
            <w:tabs>
              <w:tab w:val="right" w:leader="dot" w:pos="8781"/>
            </w:tabs>
            <w:ind w:firstLine="320" w:firstLineChars="100"/>
            <w:rPr>
              <w:color w:val="auto"/>
              <w:highlight w:val="none"/>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_Toc5474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（二）存在的问题及其原因分析</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_Toc5474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15</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0794D3B0">
          <w:pPr>
            <w:pStyle w:val="14"/>
            <w:tabs>
              <w:tab w:val="right" w:leader="dot" w:pos="8781"/>
              <w:tab w:val="clear" w:pos="840"/>
              <w:tab w:val="clear" w:pos="8296"/>
            </w:tabs>
            <w:rPr>
              <w:color w:val="auto"/>
              <w:highlight w:val="none"/>
            </w:rPr>
          </w:pPr>
          <w:r>
            <w:rPr>
              <w:rFonts w:eastAsia="仿宋_GB2312"/>
              <w:color w:val="auto"/>
              <w:highlight w:val="none"/>
              <w:lang w:val="en-US"/>
            </w:rPr>
            <w:fldChar w:fldCharType="begin"/>
          </w:r>
          <w:r>
            <w:rPr>
              <w:rFonts w:eastAsia="仿宋_GB2312"/>
              <w:color w:val="auto"/>
              <w:highlight w:val="none"/>
              <w:lang w:val="en-US"/>
            </w:rPr>
            <w:instrText xml:space="preserve"> HYPERLINK \l _Toc12053 </w:instrText>
          </w:r>
          <w:r>
            <w:rPr>
              <w:rFonts w:eastAsia="仿宋_GB2312"/>
              <w:color w:val="auto"/>
              <w:highlight w:val="none"/>
              <w:lang w:val="en-US"/>
            </w:rPr>
            <w:fldChar w:fldCharType="separate"/>
          </w:r>
          <w:r>
            <w:rPr>
              <w:rFonts w:hint="eastAsia" w:ascii="黑体" w:hAnsi="黑体" w:eastAsia="黑体" w:cs="黑体"/>
              <w:b w:val="0"/>
              <w:bCs w:val="0"/>
              <w:color w:val="auto"/>
              <w:kern w:val="0"/>
              <w:sz w:val="32"/>
              <w:szCs w:val="32"/>
              <w:highlight w:val="none"/>
              <w:lang w:val="en-US" w:eastAsia="zh-CN" w:bidi="ar-SA"/>
            </w:rPr>
            <w:t>六、有关建议</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_Toc12053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17</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eastAsia="仿宋_GB2312"/>
              <w:color w:val="auto"/>
              <w:highlight w:val="none"/>
              <w:lang w:val="en-US"/>
            </w:rPr>
            <w:fldChar w:fldCharType="end"/>
          </w:r>
        </w:p>
        <w:p w14:paraId="0758B9E5">
          <w:pPr>
            <w:pStyle w:val="15"/>
            <w:tabs>
              <w:tab w:val="right" w:leader="dot" w:pos="8781"/>
            </w:tabs>
            <w:ind w:firstLine="320" w:firstLineChars="100"/>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_Toc1833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（一）提高预算执行率</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_Toc1833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17</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3AAC554B">
          <w:pPr>
            <w:pStyle w:val="15"/>
            <w:tabs>
              <w:tab w:val="right" w:leader="dot" w:pos="8781"/>
            </w:tabs>
            <w:ind w:firstLine="320" w:firstLineChars="100"/>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_Toc11601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（二）加快资金拨付进度</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_Toc11601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17</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3CBEF7FF">
          <w:pPr>
            <w:pStyle w:val="15"/>
            <w:tabs>
              <w:tab w:val="right" w:leader="dot" w:pos="8781"/>
            </w:tabs>
            <w:ind w:firstLine="320" w:firstLineChars="100"/>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_Toc5597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（三）提升专项资金使用效率</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_Toc5597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18</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47566119">
          <w:pPr>
            <w:pStyle w:val="15"/>
            <w:tabs>
              <w:tab w:val="right" w:leader="dot" w:pos="8781"/>
            </w:tabs>
            <w:ind w:firstLine="320" w:firstLineChars="100"/>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_Toc22685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（四）规范投资计划下达时间</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_Toc22685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18</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47F2F035">
          <w:pPr>
            <w:pStyle w:val="15"/>
            <w:tabs>
              <w:tab w:val="right" w:leader="dot" w:pos="8781"/>
            </w:tabs>
            <w:ind w:firstLine="320" w:firstLineChars="100"/>
            <w:rPr>
              <w:rFonts w:ascii="Times New Roman" w:hAnsi="Times New Roman" w:eastAsia="仿宋_GB2312" w:cs="Times New Roman"/>
              <w:color w:val="auto"/>
              <w:highlight w:val="none"/>
              <w:lang w:val="en-US"/>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_Toc13031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（五）加强项目进度管理，确保项目按期产出</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_Toc13031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18</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328234D0">
          <w:pPr>
            <w:pStyle w:val="14"/>
            <w:tabs>
              <w:tab w:val="right" w:leader="dot" w:pos="8781"/>
              <w:tab w:val="clear" w:pos="840"/>
              <w:tab w:val="clear" w:pos="8296"/>
            </w:tabs>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fldChar w:fldCharType="begin"/>
          </w:r>
          <w:r>
            <w:rPr>
              <w:rFonts w:hint="eastAsia" w:ascii="黑体" w:hAnsi="黑体" w:eastAsia="黑体" w:cs="黑体"/>
              <w:b w:val="0"/>
              <w:bCs w:val="0"/>
              <w:color w:val="auto"/>
              <w:kern w:val="0"/>
              <w:sz w:val="32"/>
              <w:szCs w:val="32"/>
              <w:highlight w:val="none"/>
              <w:lang w:val="en-US" w:eastAsia="zh-CN" w:bidi="ar-SA"/>
            </w:rPr>
            <w:instrText xml:space="preserve"> HYPERLINK \l _Toc13660 </w:instrText>
          </w:r>
          <w:r>
            <w:rPr>
              <w:rFonts w:hint="eastAsia" w:ascii="黑体" w:hAnsi="黑体" w:eastAsia="黑体" w:cs="黑体"/>
              <w:b w:val="0"/>
              <w:bCs w:val="0"/>
              <w:color w:val="auto"/>
              <w:kern w:val="0"/>
              <w:sz w:val="32"/>
              <w:szCs w:val="32"/>
              <w:highlight w:val="none"/>
              <w:lang w:val="en-US" w:eastAsia="zh-CN" w:bidi="ar-SA"/>
            </w:rPr>
            <w:fldChar w:fldCharType="separate"/>
          </w:r>
          <w:r>
            <w:rPr>
              <w:rFonts w:hint="eastAsia" w:ascii="黑体" w:hAnsi="黑体" w:eastAsia="黑体" w:cs="黑体"/>
              <w:b w:val="0"/>
              <w:bCs w:val="0"/>
              <w:color w:val="auto"/>
              <w:kern w:val="0"/>
              <w:sz w:val="32"/>
              <w:szCs w:val="32"/>
              <w:highlight w:val="none"/>
              <w:lang w:val="en-US" w:eastAsia="zh-CN" w:bidi="ar-SA"/>
            </w:rPr>
            <w:t>七、其他需要说明的问题</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_Toc13660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19</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黑体" w:hAnsi="黑体" w:eastAsia="黑体" w:cs="黑体"/>
              <w:b w:val="0"/>
              <w:bCs w:val="0"/>
              <w:color w:val="auto"/>
              <w:kern w:val="0"/>
              <w:sz w:val="32"/>
              <w:szCs w:val="32"/>
              <w:highlight w:val="none"/>
              <w:lang w:val="en-US" w:eastAsia="zh-CN" w:bidi="ar-SA"/>
            </w:rPr>
            <w:fldChar w:fldCharType="end"/>
          </w:r>
        </w:p>
        <w:p w14:paraId="03B61E97">
          <w:pPr>
            <w:pStyle w:val="15"/>
            <w:tabs>
              <w:tab w:val="right" w:leader="dot" w:pos="8781"/>
            </w:tabs>
            <w:ind w:firstLine="320" w:firstLineChars="100"/>
            <w:rPr>
              <w:rFonts w:hint="eastAsia" w:ascii="Times New Roman" w:hAnsi="Times New Roman" w:eastAsia="仿宋" w:cs="Times New Roman"/>
              <w:b w:val="0"/>
              <w:bCs w:val="0"/>
              <w:color w:val="auto"/>
              <w:kern w:val="0"/>
              <w:sz w:val="32"/>
              <w:szCs w:val="32"/>
              <w:highlight w:val="none"/>
              <w:lang w:val="en-US" w:eastAsia="zh-CN" w:bidi="ar-SA"/>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_Toc20275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附件</w:t>
          </w:r>
          <w:r>
            <w:rPr>
              <w:rFonts w:hint="default" w:ascii="Times New Roman" w:hAnsi="Times New Roman" w:eastAsia="仿宋" w:cs="Times New Roman"/>
              <w:b w:val="0"/>
              <w:bCs w:val="0"/>
              <w:color w:val="auto"/>
              <w:kern w:val="0"/>
              <w:sz w:val="32"/>
              <w:szCs w:val="32"/>
              <w:highlight w:val="none"/>
              <w:lang w:val="en-US" w:eastAsia="zh-CN" w:bidi="ar-SA"/>
            </w:rPr>
            <w:t>1</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_Toc20275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20</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689B01A4">
          <w:pPr>
            <w:pStyle w:val="15"/>
            <w:tabs>
              <w:tab w:val="right" w:leader="dot" w:pos="8781"/>
            </w:tabs>
            <w:ind w:firstLine="320" w:firstLineChars="100"/>
            <w:rPr>
              <w:rFonts w:ascii="Times New Roman" w:hAnsi="Times New Roman" w:eastAsia="仿宋_GB2312" w:cs="Times New Roman"/>
              <w:color w:val="auto"/>
              <w:highlight w:val="none"/>
              <w:lang w:val="en-US"/>
            </w:rPr>
          </w:pP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HYPERLINK \l _Toc24189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附件2</w:t>
          </w:r>
          <w:r>
            <w:rPr>
              <w:rFonts w:hint="eastAsia" w:ascii="Times New Roman" w:hAnsi="Times New Roman" w:eastAsia="仿宋" w:cs="Times New Roman"/>
              <w:b w:val="0"/>
              <w:bCs w:val="0"/>
              <w:color w:val="auto"/>
              <w:kern w:val="0"/>
              <w:sz w:val="32"/>
              <w:szCs w:val="32"/>
              <w:highlight w:val="none"/>
              <w:lang w:val="en-US" w:eastAsia="zh-CN" w:bidi="ar-SA"/>
            </w:rPr>
            <w:tab/>
          </w:r>
          <w:r>
            <w:rPr>
              <w:rFonts w:hint="eastAsia" w:ascii="Times New Roman" w:hAnsi="Times New Roman" w:eastAsia="仿宋" w:cs="Times New Roman"/>
              <w:b w:val="0"/>
              <w:bCs w:val="0"/>
              <w:color w:val="auto"/>
              <w:kern w:val="0"/>
              <w:sz w:val="32"/>
              <w:szCs w:val="32"/>
              <w:highlight w:val="none"/>
              <w:lang w:val="en-US" w:eastAsia="zh-CN" w:bidi="ar-SA"/>
            </w:rPr>
            <w:fldChar w:fldCharType="begin"/>
          </w:r>
          <w:r>
            <w:rPr>
              <w:rFonts w:hint="eastAsia" w:ascii="Times New Roman" w:hAnsi="Times New Roman" w:eastAsia="仿宋" w:cs="Times New Roman"/>
              <w:b w:val="0"/>
              <w:bCs w:val="0"/>
              <w:color w:val="auto"/>
              <w:kern w:val="0"/>
              <w:sz w:val="32"/>
              <w:szCs w:val="32"/>
              <w:highlight w:val="none"/>
              <w:lang w:val="en-US" w:eastAsia="zh-CN" w:bidi="ar-SA"/>
            </w:rPr>
            <w:instrText xml:space="preserve"> PAGEREF _Toc24189 \h </w:instrText>
          </w:r>
          <w:r>
            <w:rPr>
              <w:rFonts w:hint="eastAsia" w:ascii="Times New Roman" w:hAnsi="Times New Roman" w:eastAsia="仿宋" w:cs="Times New Roman"/>
              <w:b w:val="0"/>
              <w:bCs w:val="0"/>
              <w:color w:val="auto"/>
              <w:kern w:val="0"/>
              <w:sz w:val="32"/>
              <w:szCs w:val="32"/>
              <w:highlight w:val="none"/>
              <w:lang w:val="en-US" w:eastAsia="zh-CN" w:bidi="ar-SA"/>
            </w:rPr>
            <w:fldChar w:fldCharType="separate"/>
          </w:r>
          <w:r>
            <w:rPr>
              <w:rFonts w:hint="eastAsia" w:ascii="Times New Roman" w:hAnsi="Times New Roman" w:eastAsia="仿宋" w:cs="Times New Roman"/>
              <w:b w:val="0"/>
              <w:bCs w:val="0"/>
              <w:color w:val="auto"/>
              <w:kern w:val="0"/>
              <w:sz w:val="32"/>
              <w:szCs w:val="32"/>
              <w:highlight w:val="none"/>
              <w:lang w:val="en-US" w:eastAsia="zh-CN" w:bidi="ar-SA"/>
            </w:rPr>
            <w:t>24</w:t>
          </w:r>
          <w:r>
            <w:rPr>
              <w:rFonts w:hint="eastAsia" w:ascii="Times New Roman" w:hAnsi="Times New Roman" w:eastAsia="仿宋" w:cs="Times New Roman"/>
              <w:b w:val="0"/>
              <w:bCs w:val="0"/>
              <w:color w:val="auto"/>
              <w:kern w:val="0"/>
              <w:sz w:val="32"/>
              <w:szCs w:val="32"/>
              <w:highlight w:val="none"/>
              <w:lang w:val="en-US" w:eastAsia="zh-CN" w:bidi="ar-SA"/>
            </w:rPr>
            <w:fldChar w:fldCharType="end"/>
          </w:r>
          <w:r>
            <w:rPr>
              <w:rFonts w:hint="eastAsia" w:ascii="Times New Roman" w:hAnsi="Times New Roman" w:eastAsia="仿宋" w:cs="Times New Roman"/>
              <w:b w:val="0"/>
              <w:bCs w:val="0"/>
              <w:color w:val="auto"/>
              <w:kern w:val="0"/>
              <w:sz w:val="32"/>
              <w:szCs w:val="32"/>
              <w:highlight w:val="none"/>
              <w:lang w:val="en-US" w:eastAsia="zh-CN" w:bidi="ar-SA"/>
            </w:rPr>
            <w:fldChar w:fldCharType="end"/>
          </w:r>
        </w:p>
        <w:p w14:paraId="22C07909">
          <w:pPr>
            <w:pStyle w:val="2"/>
            <w:ind w:firstLine="0" w:firstLineChars="0"/>
            <w:rPr>
              <w:rFonts w:eastAsia="仿宋_GB2312"/>
              <w:color w:val="auto"/>
              <w:sz w:val="32"/>
              <w:highlight w:val="none"/>
              <w:lang w:val="en-US"/>
            </w:rPr>
          </w:pPr>
          <w:r>
            <w:rPr>
              <w:rFonts w:eastAsia="仿宋_GB2312"/>
              <w:color w:val="auto"/>
              <w:highlight w:val="none"/>
              <w:lang w:val="en-US"/>
            </w:rPr>
            <w:fldChar w:fldCharType="end"/>
          </w:r>
        </w:p>
      </w:sdtContent>
    </w:sdt>
    <w:p w14:paraId="75E49941">
      <w:pPr>
        <w:pStyle w:val="2"/>
        <w:ind w:firstLine="0" w:firstLineChars="0"/>
        <w:rPr>
          <w:rFonts w:ascii="仿宋_GB2312" w:hAnsi="仿宋_GB2312" w:eastAsia="仿宋_GB2312" w:cs="仿宋_GB2312"/>
          <w:color w:val="auto"/>
          <w:sz w:val="32"/>
          <w:szCs w:val="32"/>
          <w:highlight w:val="none"/>
          <w:lang w:val="en-US"/>
        </w:rPr>
        <w:sectPr>
          <w:footerReference r:id="rId5" w:type="default"/>
          <w:footerReference r:id="rId6" w:type="even"/>
          <w:pgSz w:w="11900" w:h="16840"/>
          <w:pgMar w:top="1871" w:right="1531" w:bottom="1531" w:left="1588" w:header="851" w:footer="1304" w:gutter="0"/>
          <w:pgNumType w:fmt="decimal" w:start="1"/>
          <w:cols w:space="720" w:num="1"/>
        </w:sectPr>
      </w:pPr>
      <w:bookmarkStart w:id="6" w:name="_Toc28563_WPSOffice_Level1"/>
      <w:bookmarkStart w:id="7" w:name="_Toc26624_WPSOffice_Level1"/>
      <w:bookmarkStart w:id="8" w:name="_Toc4336_WPSOffice_Level1"/>
      <w:bookmarkStart w:id="9" w:name="_Toc24331_WPSOffice_Level1"/>
      <w:bookmarkStart w:id="10" w:name="_Toc7774_WPSOffice_Level1"/>
      <w:bookmarkStart w:id="11" w:name="_Toc2226_WPSOffice_Level1"/>
      <w:bookmarkStart w:id="12" w:name="_Toc31438_WPSOffice_Level1"/>
      <w:bookmarkStart w:id="13" w:name="_Toc18848_WPSOffice_Level1"/>
      <w:bookmarkStart w:id="14" w:name="_Toc17874_WPSOffice_Level1"/>
      <w:bookmarkStart w:id="15" w:name="_Toc10489_WPSOffice_Level1"/>
    </w:p>
    <w:p w14:paraId="0754DA7D">
      <w:pPr>
        <w:pStyle w:val="2"/>
        <w:ind w:firstLine="0" w:firstLineChars="0"/>
        <w:rPr>
          <w:rFonts w:ascii="仿宋_GB2312" w:hAnsi="仿宋_GB2312" w:eastAsia="仿宋_GB2312" w:cs="仿宋_GB2312"/>
          <w:color w:val="auto"/>
          <w:sz w:val="32"/>
          <w:szCs w:val="32"/>
          <w:highlight w:val="none"/>
          <w:lang w:val="en-US"/>
        </w:rPr>
      </w:pPr>
    </w:p>
    <w:p w14:paraId="1B978982">
      <w:pPr>
        <w:pStyle w:val="2"/>
        <w:ind w:firstLine="0" w:firstLineChars="0"/>
        <w:rPr>
          <w:rFonts w:hint="eastAsia" w:ascii="仿宋_GB2312" w:hAnsi="仿宋_GB2312" w:eastAsia="仿宋_GB2312" w:cs="仿宋_GB2312"/>
          <w:color w:val="auto"/>
          <w:sz w:val="32"/>
          <w:szCs w:val="32"/>
          <w:highlight w:val="none"/>
          <w:lang w:val="en-US" w:eastAsia="zh-CN"/>
        </w:rPr>
      </w:pPr>
    </w:p>
    <w:p w14:paraId="0AF6070A">
      <w:pPr>
        <w:pStyle w:val="2"/>
        <w:ind w:firstLine="0" w:firstLineChars="0"/>
        <w:rPr>
          <w:rFonts w:hint="eastAsia" w:ascii="仿宋_GB2312" w:hAnsi="仿宋_GB2312" w:eastAsia="仿宋_GB2312" w:cs="仿宋_GB2312"/>
          <w:color w:val="auto"/>
          <w:sz w:val="32"/>
          <w:szCs w:val="32"/>
          <w:highlight w:val="none"/>
          <w:lang w:val="en-US" w:eastAsia="zh-CN"/>
        </w:rPr>
      </w:pPr>
    </w:p>
    <w:bookmarkEnd w:id="6"/>
    <w:bookmarkEnd w:id="7"/>
    <w:bookmarkEnd w:id="8"/>
    <w:bookmarkEnd w:id="9"/>
    <w:bookmarkEnd w:id="10"/>
    <w:bookmarkEnd w:id="11"/>
    <w:bookmarkEnd w:id="12"/>
    <w:bookmarkEnd w:id="13"/>
    <w:bookmarkEnd w:id="14"/>
    <w:bookmarkEnd w:id="15"/>
    <w:p w14:paraId="24F2F3A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eastAsia="方正小标宋_GBK"/>
          <w:color w:val="auto"/>
          <w:sz w:val="36"/>
          <w:szCs w:val="36"/>
          <w:highlight w:val="none"/>
        </w:rPr>
      </w:pPr>
      <w:r>
        <w:rPr>
          <w:rFonts w:hint="eastAsia" w:eastAsia="方正小标宋_GBK"/>
          <w:color w:val="auto"/>
          <w:sz w:val="36"/>
          <w:szCs w:val="36"/>
          <w:highlight w:val="none"/>
          <w:lang w:eastAsia="zh-CN"/>
        </w:rPr>
        <w:t>2024年度省预算内基本建设专项资金</w:t>
      </w:r>
    </w:p>
    <w:p w14:paraId="0286AA0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eastAsia="方正小标宋_GBK"/>
          <w:color w:val="auto"/>
          <w:sz w:val="36"/>
          <w:szCs w:val="36"/>
          <w:highlight w:val="none"/>
        </w:rPr>
      </w:pPr>
      <w:bookmarkStart w:id="16" w:name="_Toc7207_WPSOffice_Level1"/>
      <w:bookmarkStart w:id="17" w:name="_Toc28118"/>
      <w:bookmarkStart w:id="18" w:name="_Toc5538_WPSOffice_Level1"/>
      <w:bookmarkStart w:id="19" w:name="_Toc3644_WPSOffice_Level1"/>
      <w:bookmarkStart w:id="20" w:name="_Toc30190_WPSOffice_Level1"/>
      <w:bookmarkStart w:id="21" w:name="_Toc23768_WPSOffice_Level1"/>
      <w:bookmarkStart w:id="22" w:name="_Toc13715"/>
      <w:bookmarkStart w:id="23" w:name="_Toc12143"/>
      <w:bookmarkStart w:id="24" w:name="_Toc19859"/>
      <w:bookmarkStart w:id="25" w:name="_Toc7513_WPSOffice_Level1"/>
      <w:bookmarkStart w:id="26" w:name="_Toc22050_WPSOffice_Level1"/>
      <w:bookmarkStart w:id="27" w:name="_Toc12271_WPSOffice_Level1"/>
      <w:bookmarkStart w:id="28" w:name="_Toc7766"/>
      <w:bookmarkStart w:id="29" w:name="_Toc12725_WPSOffice_Level1"/>
      <w:bookmarkStart w:id="30" w:name="_Toc955_WPSOffice_Level1"/>
      <w:bookmarkStart w:id="31" w:name="_Toc26255"/>
      <w:r>
        <w:rPr>
          <w:rFonts w:hint="eastAsia" w:eastAsia="方正小标宋_GBK"/>
          <w:color w:val="auto"/>
          <w:sz w:val="36"/>
          <w:szCs w:val="36"/>
          <w:highlight w:val="none"/>
        </w:rPr>
        <w:t>绩效自评报告</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442FEA5">
      <w:pPr>
        <w:pStyle w:val="2"/>
        <w:ind w:firstLine="420"/>
        <w:rPr>
          <w:color w:val="auto"/>
          <w:highlight w:val="none"/>
        </w:rPr>
      </w:pPr>
    </w:p>
    <w:p w14:paraId="560DB70E">
      <w:pPr>
        <w:pStyle w:val="2"/>
        <w:ind w:firstLine="0" w:firstLineChars="0"/>
        <w:rPr>
          <w:rFonts w:ascii="仿宋_GB2312" w:hAnsi="仿宋_GB2312" w:eastAsia="仿宋_GB2312" w:cs="仿宋_GB2312"/>
          <w:color w:val="auto"/>
          <w:sz w:val="32"/>
          <w:szCs w:val="32"/>
          <w:highlight w:val="none"/>
          <w:lang w:val="en-US"/>
        </w:rPr>
      </w:pPr>
    </w:p>
    <w:p w14:paraId="205CCC95">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为进一步规范财政资金管理，强化绩效意识和支出责任，建立绩效评价体系，推动预算绩效管理水平提高，根据《中共中央 国务院关于全面实施预算绩效管理的意见》（中发〔2018〕34号）、《项目支出绩效评价管理办法》（财预〔2020〕10号）</w:t>
      </w:r>
      <w:r>
        <w:rPr>
          <w:rFonts w:hint="eastAsia" w:eastAsia="仿宋_GB2312"/>
          <w:color w:val="auto"/>
          <w:sz w:val="32"/>
          <w:szCs w:val="32"/>
          <w:highlight w:val="none"/>
          <w:lang w:eastAsia="zh-CN"/>
        </w:rPr>
        <w:t>、</w:t>
      </w:r>
      <w:r>
        <w:rPr>
          <w:rFonts w:hint="eastAsia" w:eastAsia="仿宋_GB2312"/>
          <w:color w:val="auto"/>
          <w:sz w:val="32"/>
          <w:szCs w:val="32"/>
          <w:highlight w:val="none"/>
        </w:rPr>
        <w:t>《中共湖南省委办公厅 湖南省人民政府办公厅关于全面实施预算绩效管理的实施意见》（湘办发〔2019〕10号）、《湖南省省级预算部门绩效自评操作规程》（湘财绩〔2020〕5号）</w:t>
      </w:r>
      <w:r>
        <w:rPr>
          <w:rFonts w:hint="eastAsia" w:eastAsia="仿宋_GB2312"/>
          <w:color w:val="auto"/>
          <w:sz w:val="32"/>
          <w:szCs w:val="32"/>
          <w:highlight w:val="none"/>
          <w:lang w:eastAsia="zh-CN"/>
        </w:rPr>
        <w:t>、</w:t>
      </w:r>
      <w:r>
        <w:rPr>
          <w:rFonts w:hint="eastAsia" w:eastAsia="仿宋_GB2312"/>
          <w:color w:val="auto"/>
          <w:sz w:val="32"/>
          <w:szCs w:val="32"/>
          <w:highlight w:val="none"/>
        </w:rPr>
        <w:t>《湖南省预算支出绩效评价管理办法》（湘财绩〔2020〕7号）和</w:t>
      </w:r>
      <w:r>
        <w:rPr>
          <w:rFonts w:hint="eastAsia" w:eastAsia="仿宋_GB2312"/>
          <w:color w:val="auto"/>
          <w:sz w:val="32"/>
          <w:szCs w:val="32"/>
          <w:highlight w:val="none"/>
          <w:lang w:eastAsia="zh-CN"/>
        </w:rPr>
        <w:t>《湖南省财政厅关于开展2024年度省级预算部门绩效自评和部门评价的通知》（湘财绩〔2025〕2号）</w:t>
      </w:r>
      <w:r>
        <w:rPr>
          <w:rFonts w:hint="eastAsia" w:eastAsia="仿宋_GB2312"/>
          <w:color w:val="auto"/>
          <w:sz w:val="32"/>
          <w:szCs w:val="32"/>
          <w:highlight w:val="none"/>
        </w:rPr>
        <w:t>等文件规定和全省深化零基预算改革有关要求，湖南省发展和改革委员会设立绩效评价工作组（以下简称“工作组”），于202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28</w:t>
      </w:r>
      <w:r>
        <w:rPr>
          <w:rFonts w:hint="eastAsia" w:eastAsia="仿宋_GB2312"/>
          <w:color w:val="auto"/>
          <w:sz w:val="32"/>
          <w:szCs w:val="32"/>
          <w:highlight w:val="none"/>
        </w:rPr>
        <w:t>日至202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16</w:t>
      </w:r>
      <w:r>
        <w:rPr>
          <w:rFonts w:hint="eastAsia" w:eastAsia="仿宋_GB2312"/>
          <w:color w:val="auto"/>
          <w:sz w:val="32"/>
          <w:szCs w:val="32"/>
          <w:highlight w:val="none"/>
        </w:rPr>
        <w:t>日对</w:t>
      </w:r>
      <w:r>
        <w:rPr>
          <w:rFonts w:hint="eastAsia" w:eastAsia="仿宋_GB2312"/>
          <w:color w:val="auto"/>
          <w:sz w:val="32"/>
          <w:szCs w:val="32"/>
          <w:highlight w:val="none"/>
          <w:lang w:eastAsia="zh-CN"/>
        </w:rPr>
        <w:t>202</w:t>
      </w:r>
      <w:r>
        <w:rPr>
          <w:rFonts w:hint="eastAsia" w:eastAsia="仿宋_GB2312"/>
          <w:color w:val="auto"/>
          <w:sz w:val="32"/>
          <w:szCs w:val="32"/>
          <w:highlight w:val="none"/>
          <w:lang w:val="en-US" w:eastAsia="zh-CN"/>
        </w:rPr>
        <w:t>4</w:t>
      </w:r>
      <w:r>
        <w:rPr>
          <w:rFonts w:hint="eastAsia" w:eastAsia="仿宋_GB2312"/>
          <w:color w:val="auto"/>
          <w:sz w:val="32"/>
          <w:szCs w:val="32"/>
          <w:highlight w:val="none"/>
          <w:lang w:eastAsia="zh-CN"/>
        </w:rPr>
        <w:t>年度省预算内基本建设专项资金</w:t>
      </w:r>
      <w:r>
        <w:rPr>
          <w:rFonts w:hint="eastAsia" w:eastAsia="仿宋_GB2312"/>
          <w:color w:val="auto"/>
          <w:sz w:val="32"/>
          <w:szCs w:val="32"/>
          <w:highlight w:val="none"/>
        </w:rPr>
        <w:t>进行了绩效</w:t>
      </w:r>
      <w:r>
        <w:rPr>
          <w:rFonts w:hint="eastAsia" w:eastAsia="仿宋_GB2312"/>
          <w:color w:val="auto"/>
          <w:sz w:val="32"/>
          <w:szCs w:val="32"/>
          <w:highlight w:val="none"/>
          <w:lang w:val="en-US" w:eastAsia="zh-CN"/>
        </w:rPr>
        <w:t>自评</w:t>
      </w:r>
      <w:r>
        <w:rPr>
          <w:rFonts w:hint="eastAsia" w:eastAsia="仿宋_GB2312"/>
          <w:color w:val="auto"/>
          <w:sz w:val="32"/>
          <w:szCs w:val="32"/>
          <w:highlight w:val="none"/>
        </w:rPr>
        <w:t>。在项目实施单位提供资料的基础上，按照重要性原则，根据项目的实际情况，开展了资料审阅、账务核实、现场查勘、支付记录抽查、询问、分析计算等现场评价程序，并结合预算执行率、产出指标、效益指标、服务对象满意度指标情况对项目进行了综合评价，现将</w:t>
      </w:r>
      <w:r>
        <w:rPr>
          <w:rFonts w:hint="eastAsia" w:eastAsia="仿宋_GB2312"/>
          <w:color w:val="auto"/>
          <w:sz w:val="32"/>
          <w:szCs w:val="32"/>
          <w:highlight w:val="none"/>
          <w:lang w:val="en-US" w:eastAsia="zh-CN"/>
        </w:rPr>
        <w:t>自评</w:t>
      </w:r>
      <w:r>
        <w:rPr>
          <w:rFonts w:hint="eastAsia" w:eastAsia="仿宋_GB2312"/>
          <w:color w:val="auto"/>
          <w:sz w:val="32"/>
          <w:szCs w:val="32"/>
          <w:highlight w:val="none"/>
        </w:rPr>
        <w:t>情况报告如下：</w:t>
      </w:r>
    </w:p>
    <w:p w14:paraId="594348E1">
      <w:pPr>
        <w:spacing w:line="600" w:lineRule="exact"/>
        <w:ind w:firstLine="643" w:firstLineChars="200"/>
        <w:outlineLvl w:val="0"/>
        <w:rPr>
          <w:rFonts w:eastAsia="黑体"/>
          <w:b/>
          <w:bCs/>
          <w:color w:val="auto"/>
          <w:sz w:val="32"/>
          <w:szCs w:val="32"/>
          <w:highlight w:val="none"/>
        </w:rPr>
      </w:pPr>
      <w:bookmarkStart w:id="32" w:name="_Toc17540"/>
      <w:bookmarkStart w:id="33" w:name="_Toc1137_WPSOffice_Level1"/>
      <w:bookmarkStart w:id="34" w:name="_Toc11769"/>
      <w:r>
        <w:rPr>
          <w:rFonts w:eastAsia="黑体"/>
          <w:b/>
          <w:bCs/>
          <w:color w:val="auto"/>
          <w:sz w:val="32"/>
          <w:szCs w:val="32"/>
          <w:highlight w:val="none"/>
        </w:rPr>
        <w:t>一、</w:t>
      </w:r>
      <w:r>
        <w:rPr>
          <w:rFonts w:hint="eastAsia" w:eastAsia="黑体"/>
          <w:b/>
          <w:bCs/>
          <w:color w:val="auto"/>
          <w:sz w:val="32"/>
          <w:szCs w:val="32"/>
          <w:highlight w:val="none"/>
          <w:lang w:eastAsia="zh-CN"/>
        </w:rPr>
        <w:t>预算支出</w:t>
      </w:r>
      <w:r>
        <w:rPr>
          <w:rFonts w:eastAsia="黑体"/>
          <w:b/>
          <w:bCs/>
          <w:color w:val="auto"/>
          <w:sz w:val="32"/>
          <w:szCs w:val="32"/>
          <w:highlight w:val="none"/>
        </w:rPr>
        <w:t>基本情况</w:t>
      </w:r>
      <w:bookmarkEnd w:id="32"/>
      <w:bookmarkEnd w:id="33"/>
      <w:bookmarkEnd w:id="34"/>
    </w:p>
    <w:p w14:paraId="6CEA07FA">
      <w:pPr>
        <w:spacing w:line="600" w:lineRule="exact"/>
        <w:ind w:firstLine="643" w:firstLineChars="200"/>
        <w:outlineLvl w:val="1"/>
        <w:rPr>
          <w:rFonts w:eastAsia="楷体_GB2312"/>
          <w:b/>
          <w:color w:val="auto"/>
          <w:sz w:val="32"/>
          <w:szCs w:val="32"/>
          <w:highlight w:val="none"/>
        </w:rPr>
      </w:pPr>
      <w:bookmarkStart w:id="35" w:name="_Toc3644_WPSOffice_Level2"/>
      <w:bookmarkStart w:id="36" w:name="_Toc10655"/>
      <w:bookmarkStart w:id="37" w:name="_Toc25835"/>
      <w:r>
        <w:rPr>
          <w:rFonts w:eastAsia="楷体_GB2312"/>
          <w:b/>
          <w:color w:val="auto"/>
          <w:sz w:val="32"/>
          <w:szCs w:val="32"/>
          <w:highlight w:val="none"/>
        </w:rPr>
        <w:t>（一）</w:t>
      </w:r>
      <w:r>
        <w:rPr>
          <w:rFonts w:hint="eastAsia" w:eastAsia="楷体_GB2312"/>
          <w:b/>
          <w:color w:val="auto"/>
          <w:sz w:val="32"/>
          <w:szCs w:val="32"/>
          <w:highlight w:val="none"/>
          <w:lang w:eastAsia="zh-CN"/>
        </w:rPr>
        <w:t>预算支出</w:t>
      </w:r>
      <w:r>
        <w:rPr>
          <w:rFonts w:eastAsia="楷体_GB2312"/>
          <w:b/>
          <w:color w:val="auto"/>
          <w:sz w:val="32"/>
          <w:szCs w:val="32"/>
          <w:highlight w:val="none"/>
        </w:rPr>
        <w:t>概况</w:t>
      </w:r>
      <w:bookmarkEnd w:id="35"/>
      <w:bookmarkEnd w:id="36"/>
      <w:bookmarkEnd w:id="37"/>
    </w:p>
    <w:p w14:paraId="7F698AAB">
      <w:pPr>
        <w:spacing w:line="600" w:lineRule="exact"/>
        <w:ind w:firstLine="640" w:firstLineChars="200"/>
        <w:outlineLvl w:val="2"/>
        <w:rPr>
          <w:rFonts w:eastAsia="仿宋_GB2312"/>
          <w:color w:val="auto"/>
          <w:sz w:val="32"/>
          <w:szCs w:val="32"/>
          <w:highlight w:val="none"/>
        </w:rPr>
      </w:pPr>
      <w:bookmarkStart w:id="38" w:name="_Toc21768"/>
      <w:r>
        <w:rPr>
          <w:rFonts w:hint="eastAsia" w:eastAsia="仿宋_GB2312"/>
          <w:color w:val="auto"/>
          <w:sz w:val="32"/>
          <w:szCs w:val="32"/>
          <w:highlight w:val="none"/>
        </w:rPr>
        <w:t>1、项目背景</w:t>
      </w:r>
      <w:bookmarkEnd w:id="38"/>
    </w:p>
    <w:p w14:paraId="17A56FF8">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根据《国务院办公厅关于加快构建废弃物循环利用体系的意见》（国办发〔2024〕7号）、《国家发展改革委等部门关于加强高校学生宿舍建设的指导意见》（发改社会〔2024〕25号）、《湖南省“十四五”粮食和物资储备及应急体系建设规划》《湖南省推进以创新为支撑的高校师生创业就业三年行动方案（2023-2025年）》（湘政办发〔2023〕26号）、《湖南省加快推进北斗规模应用若干政策措施》《湖南省推动大规模设备更新和消费品以旧换新实施方案》（湘政发〔2024〕5号）等文件要求，落实重大战略和重大事项，保障重大项目前期推进，重点支持省属公办本科高校学生宿舍建设、“五好园区”建设、旅游发展大会基础设施建设、省级储备粮仓储建设、高校师生创业就业创新及北斗规模应用建设、以县城为重要载体的城镇化试点建设、废旧物资回收循环利用体系建设，对省政府“真抓实干”督查受到表扬激励或经验推介的市、县、园区等进行前期费支持等，聚焦关键领域和薄弱环节，进一步完善基础设施和公共服务体系，坚持创新发展战略，推动全省经济高质量发展。</w:t>
      </w:r>
    </w:p>
    <w:p w14:paraId="006BCE7F">
      <w:pPr>
        <w:spacing w:line="600" w:lineRule="exact"/>
        <w:ind w:firstLine="640" w:firstLineChars="200"/>
        <w:outlineLvl w:val="2"/>
        <w:rPr>
          <w:rFonts w:eastAsia="仿宋_GB2312"/>
          <w:color w:val="auto"/>
          <w:sz w:val="32"/>
          <w:szCs w:val="32"/>
          <w:highlight w:val="none"/>
        </w:rPr>
      </w:pPr>
      <w:bookmarkStart w:id="39" w:name="_Toc2663"/>
      <w:r>
        <w:rPr>
          <w:rFonts w:hint="eastAsia" w:eastAsia="仿宋_GB2312"/>
          <w:color w:val="auto"/>
          <w:sz w:val="32"/>
          <w:szCs w:val="32"/>
          <w:highlight w:val="none"/>
        </w:rPr>
        <w:t>2、主要内容及实施情况</w:t>
      </w:r>
      <w:bookmarkEnd w:id="39"/>
    </w:p>
    <w:p w14:paraId="42B86D84">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eastAsia="zh-CN"/>
        </w:rPr>
        <w:t>2024年度省预算内基本建设专项资金</w:t>
      </w:r>
      <w:r>
        <w:rPr>
          <w:rFonts w:hint="eastAsia" w:eastAsia="仿宋_GB2312"/>
          <w:color w:val="auto"/>
          <w:sz w:val="32"/>
          <w:szCs w:val="32"/>
          <w:highlight w:val="none"/>
        </w:rPr>
        <w:t>重点支持财政统筹</w:t>
      </w:r>
      <w:r>
        <w:rPr>
          <w:rFonts w:hint="eastAsia" w:eastAsia="仿宋_GB2312"/>
          <w:color w:val="auto"/>
          <w:sz w:val="32"/>
          <w:szCs w:val="32"/>
          <w:highlight w:val="none"/>
          <w:lang w:val="en-US" w:eastAsia="zh-CN"/>
        </w:rPr>
        <w:t>项目、落实重大战略和重大事项其他建设项目、重大投资项目前期工作经费项目、废旧物资回收循环利用专项项目、真抓实干督查激励等措施以及开展项目评审、验收、编制“十五五”规划、开展重大课题研究等、“五好园区”建设项目、省属公办本科高校学生宿舍建设项目、旅游发展大会支持项目、省级储备粮仓储建设项目、高校师生创业就业创新及北斗规模应用项目、以县城为重要载体的城镇化试点支持项目等</w:t>
      </w:r>
      <w:r>
        <w:rPr>
          <w:rFonts w:hint="eastAsia" w:eastAsia="仿宋_GB2312" w:cs="Times New Roman"/>
          <w:bCs/>
          <w:color w:val="auto"/>
          <w:sz w:val="32"/>
          <w:szCs w:val="32"/>
          <w:highlight w:val="none"/>
          <w:lang w:val="en-US" w:eastAsia="zh-CN"/>
        </w:rPr>
        <w:t>，</w:t>
      </w:r>
      <w:r>
        <w:rPr>
          <w:rFonts w:hint="eastAsia" w:eastAsia="仿宋_GB2312"/>
          <w:color w:val="auto"/>
          <w:sz w:val="32"/>
          <w:szCs w:val="32"/>
          <w:highlight w:val="none"/>
        </w:rPr>
        <w:t>项目实施单位基本完成年度项目建设内容。</w:t>
      </w:r>
    </w:p>
    <w:p w14:paraId="7B230206">
      <w:pPr>
        <w:spacing w:line="600" w:lineRule="exact"/>
        <w:ind w:firstLine="643" w:firstLineChars="200"/>
        <w:outlineLvl w:val="1"/>
        <w:rPr>
          <w:rFonts w:eastAsia="楷体_GB2312"/>
          <w:b/>
          <w:color w:val="auto"/>
          <w:sz w:val="32"/>
          <w:szCs w:val="32"/>
          <w:highlight w:val="none"/>
        </w:rPr>
      </w:pPr>
      <w:bookmarkStart w:id="40" w:name="_Toc11283"/>
      <w:bookmarkStart w:id="41" w:name="_Toc8074"/>
      <w:bookmarkStart w:id="42" w:name="_Toc1137_WPSOffice_Level2"/>
      <w:r>
        <w:rPr>
          <w:rFonts w:hint="eastAsia" w:eastAsia="楷体_GB2312"/>
          <w:b/>
          <w:color w:val="auto"/>
          <w:sz w:val="32"/>
          <w:szCs w:val="32"/>
          <w:highlight w:val="none"/>
        </w:rPr>
        <w:t>（二）</w:t>
      </w:r>
      <w:r>
        <w:rPr>
          <w:rFonts w:hint="eastAsia" w:eastAsia="楷体_GB2312"/>
          <w:b/>
          <w:color w:val="auto"/>
          <w:sz w:val="32"/>
          <w:szCs w:val="32"/>
          <w:highlight w:val="none"/>
          <w:lang w:eastAsia="zh-CN"/>
        </w:rPr>
        <w:t>预算资金</w:t>
      </w:r>
      <w:r>
        <w:rPr>
          <w:rFonts w:eastAsia="楷体_GB2312"/>
          <w:b/>
          <w:color w:val="auto"/>
          <w:sz w:val="32"/>
          <w:szCs w:val="32"/>
          <w:highlight w:val="none"/>
        </w:rPr>
        <w:t>使用管理情况</w:t>
      </w:r>
      <w:bookmarkEnd w:id="40"/>
      <w:bookmarkEnd w:id="41"/>
      <w:bookmarkEnd w:id="42"/>
    </w:p>
    <w:p w14:paraId="44A0A24C">
      <w:pPr>
        <w:spacing w:line="600" w:lineRule="exact"/>
        <w:ind w:firstLine="640" w:firstLineChars="200"/>
        <w:outlineLvl w:val="2"/>
        <w:rPr>
          <w:rFonts w:eastAsia="仿宋_GB2312"/>
          <w:color w:val="auto"/>
          <w:sz w:val="32"/>
          <w:szCs w:val="32"/>
          <w:highlight w:val="none"/>
        </w:rPr>
      </w:pPr>
      <w:bookmarkStart w:id="43" w:name="_Toc18664"/>
      <w:r>
        <w:rPr>
          <w:rFonts w:hint="eastAsia" w:eastAsia="仿宋_GB2312"/>
          <w:color w:val="auto"/>
          <w:sz w:val="32"/>
          <w:szCs w:val="32"/>
          <w:highlight w:val="none"/>
        </w:rPr>
        <w:t>1、专项资金安排及拨付情况</w:t>
      </w:r>
      <w:bookmarkEnd w:id="43"/>
    </w:p>
    <w:p w14:paraId="64713A9A">
      <w:pPr>
        <w:pStyle w:val="7"/>
        <w:snapToGrid w:val="0"/>
        <w:spacing w:after="0" w:line="596" w:lineRule="exact"/>
        <w:ind w:firstLine="640"/>
        <w:jc w:val="both"/>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根据《湖南省发展和改革委员会关于下达2024年省预算内基本建设投资第一批投资计划的通知》（湘发改投资〔2024〕409号；包括湘发改投资〔2023〕585号）、《湖南省发展和改革委员会关于下达2024年省预算内基本建设投资第二批投资计划的通知》（湘发改投资〔2024〕773号）、《湖南省发展和改革委员会关于下达2024年第一批重大投资项目前期工作经费投资计划的通知》（湘发改投资〔2024〕866号）、《湖南省发展和改革委员会关于下达2024年第二批重大投资项目前期工作经费投资计划的通知》（湘发改投资〔2024〕935号）文件，2024年度省预算内基本建设专项资金共计225,451.00万元，</w:t>
      </w:r>
      <w:r>
        <w:rPr>
          <w:rFonts w:hint="eastAsia" w:ascii="Times New Roman" w:hAnsi="Times New Roman" w:eastAsia="仿宋_GB2312"/>
          <w:color w:val="auto"/>
          <w:kern w:val="2"/>
          <w:sz w:val="32"/>
          <w:szCs w:val="32"/>
          <w:highlight w:val="none"/>
        </w:rPr>
        <w:t>其中财政统筹</w:t>
      </w:r>
      <w:r>
        <w:rPr>
          <w:rFonts w:hint="eastAsia" w:ascii="Times New Roman" w:hAnsi="Times New Roman" w:eastAsia="仿宋_GB2312"/>
          <w:color w:val="auto"/>
          <w:kern w:val="2"/>
          <w:sz w:val="32"/>
          <w:szCs w:val="32"/>
          <w:highlight w:val="none"/>
          <w:lang w:val="en-US" w:eastAsia="zh-CN"/>
        </w:rPr>
        <w:t>用于省机场集团长沙黄花机场改扩建工程40,000.00万元、省水利厅毛俊水库省重大水利发展专项垫付省级配套资金10,984.00万元、全省消防基础设施建设配套资金5,000.00万元、岳阳城陵矶口岸航运物流发展3,000.00万元、怀化国际陆港建设和物流发展3,000.00万元、沿江化工企业搬迁改造2,700.00万元、省气象局省气象灾害监测预警信息化工程4,000.00万元、省气象局东南区域人工影响天气能力建设（湖南段）1,000.00万元、通用航空产业博览会办展经费补助250.00万元，共计69,934.00万元；</w:t>
      </w:r>
      <w:r>
        <w:rPr>
          <w:rFonts w:hint="default" w:ascii="Times New Roman" w:hAnsi="Times New Roman" w:eastAsia="仿宋_GB2312" w:cs="Times New Roman"/>
          <w:color w:val="auto"/>
          <w:kern w:val="2"/>
          <w:sz w:val="32"/>
          <w:szCs w:val="32"/>
          <w:highlight w:val="none"/>
        </w:rPr>
        <w:t>实际安排</w:t>
      </w:r>
      <w:r>
        <w:rPr>
          <w:rFonts w:hint="default" w:ascii="Times New Roman" w:hAnsi="Times New Roman" w:eastAsia="仿宋_GB2312" w:cs="Times New Roman"/>
          <w:color w:val="auto"/>
          <w:kern w:val="2"/>
          <w:sz w:val="32"/>
          <w:szCs w:val="32"/>
          <w:highlight w:val="none"/>
          <w:lang w:eastAsia="zh-CN"/>
        </w:rPr>
        <w:t>2024年度省预算内基本建设</w:t>
      </w:r>
      <w:r>
        <w:rPr>
          <w:rFonts w:hint="default" w:ascii="Times New Roman" w:hAnsi="Times New Roman" w:eastAsia="仿宋_GB2312" w:cs="Times New Roman"/>
          <w:color w:val="auto"/>
          <w:kern w:val="2"/>
          <w:sz w:val="32"/>
          <w:szCs w:val="32"/>
          <w:highlight w:val="none"/>
        </w:rPr>
        <w:t>专项资金155</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rPr>
        <w:t>517</w:t>
      </w:r>
      <w:r>
        <w:rPr>
          <w:rFonts w:hint="default" w:ascii="Times New Roman" w:hAnsi="Times New Roman" w:eastAsia="仿宋_GB2312" w:cs="Times New Roman"/>
          <w:color w:val="auto"/>
          <w:kern w:val="2"/>
          <w:sz w:val="32"/>
          <w:szCs w:val="32"/>
          <w:highlight w:val="none"/>
          <w:lang w:val="en-US" w:eastAsia="zh-CN"/>
        </w:rPr>
        <w:t>.00</w:t>
      </w:r>
      <w:r>
        <w:rPr>
          <w:rFonts w:hint="default" w:ascii="Times New Roman" w:hAnsi="Times New Roman" w:eastAsia="仿宋_GB2312" w:cs="Times New Roman"/>
          <w:color w:val="auto"/>
          <w:kern w:val="2"/>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已全部拨付至各省直单位、14个市州，支持落实重大战略和重大事项其他建设项目64,958.00万元、重大投资项目前期工作经费20,000.00万元、废旧物资回收循环利用专项项目15,000.00万元、真抓实干督查激励等措施以及开展项目评审、验收、编制“十五五”规划、开展重大课题研究等13,809.00万元、“五好园区”建设11,750.00万元、省属公办本科高校学生宿舍建设10,000.00万元、省级储备粮仓储建设8,000.00万元、旅游发展大会支持5,000.00万元、高校师生创业就业创新及北斗规模应用5,000.00万元、以县城为重要载体的城镇化试点支持2,000.00万元。</w:t>
      </w:r>
    </w:p>
    <w:p w14:paraId="1048C5D6">
      <w:pPr>
        <w:spacing w:line="600" w:lineRule="exact"/>
        <w:ind w:firstLine="640" w:firstLineChars="200"/>
        <w:rPr>
          <w:rFonts w:hint="eastAsia" w:ascii="Times New Roman" w:hAnsi="Times New Roman" w:eastAsia="仿宋_GB2312" w:cs="Times New Roman"/>
          <w:bCs/>
          <w:color w:val="auto"/>
          <w:sz w:val="32"/>
          <w:szCs w:val="32"/>
          <w:highlight w:val="none"/>
          <w:lang w:val="en-US" w:eastAsia="zh-CN"/>
        </w:rPr>
      </w:pPr>
      <w:bookmarkStart w:id="44" w:name="_Toc22352"/>
      <w:r>
        <w:rPr>
          <w:rFonts w:hint="eastAsia" w:ascii="Times New Roman" w:hAnsi="Times New Roman" w:eastAsia="仿宋_GB2312" w:cs="Times New Roman"/>
          <w:bCs/>
          <w:color w:val="auto"/>
          <w:sz w:val="32"/>
          <w:szCs w:val="32"/>
          <w:highlight w:val="none"/>
          <w:lang w:val="en-US" w:eastAsia="zh-CN"/>
        </w:rPr>
        <w:t>2、专项资金使用情况</w:t>
      </w:r>
      <w:bookmarkEnd w:id="44"/>
    </w:p>
    <w:p w14:paraId="6E5ABE70">
      <w:pPr>
        <w:spacing w:line="600" w:lineRule="exact"/>
        <w:ind w:firstLine="640" w:firstLineChars="200"/>
        <w:rPr>
          <w:rFonts w:eastAsia="仿宋_GB2312"/>
          <w:color w:val="auto"/>
          <w:sz w:val="32"/>
          <w:szCs w:val="32"/>
          <w:highlight w:val="none"/>
        </w:rPr>
      </w:pPr>
      <w:r>
        <w:rPr>
          <w:rFonts w:hint="eastAsia" w:ascii="Times New Roman" w:hAnsi="Times New Roman" w:eastAsia="仿宋_GB2312" w:cs="Times New Roman"/>
          <w:bCs/>
          <w:color w:val="auto"/>
          <w:sz w:val="32"/>
          <w:szCs w:val="32"/>
          <w:highlight w:val="none"/>
          <w:lang w:val="en-US" w:eastAsia="zh-CN"/>
        </w:rPr>
        <w:t>根据项目实施单位提交的自评材料，结合现场抽查统计，</w:t>
      </w:r>
      <w:r>
        <w:rPr>
          <w:rFonts w:hint="eastAsia" w:eastAsia="仿宋_GB2312" w:cs="Times New Roman"/>
          <w:bCs/>
          <w:color w:val="auto"/>
          <w:sz w:val="32"/>
          <w:szCs w:val="32"/>
          <w:highlight w:val="none"/>
          <w:lang w:val="en-US" w:eastAsia="zh-CN"/>
        </w:rPr>
        <w:t>截至2024年12月31日</w:t>
      </w:r>
      <w:r>
        <w:rPr>
          <w:rFonts w:hint="eastAsia" w:ascii="Times New Roman" w:hAnsi="Times New Roman" w:eastAsia="仿宋_GB2312" w:cs="Times New Roman"/>
          <w:bCs/>
          <w:color w:val="auto"/>
          <w:sz w:val="32"/>
          <w:szCs w:val="32"/>
          <w:highlight w:val="none"/>
          <w:lang w:val="en-US" w:eastAsia="zh-CN"/>
        </w:rPr>
        <w:t>，项目实施单</w:t>
      </w:r>
      <w:r>
        <w:rPr>
          <w:rFonts w:hint="eastAsia" w:eastAsia="仿宋_GB2312"/>
          <w:color w:val="auto"/>
          <w:sz w:val="32"/>
          <w:szCs w:val="32"/>
          <w:highlight w:val="none"/>
        </w:rPr>
        <w:t>位已使用专项资金</w:t>
      </w:r>
      <w:r>
        <w:rPr>
          <w:rFonts w:hint="eastAsia" w:eastAsia="仿宋_GB2312"/>
          <w:color w:val="auto"/>
          <w:sz w:val="32"/>
          <w:szCs w:val="32"/>
          <w:highlight w:val="none"/>
          <w:lang w:val="en-US" w:eastAsia="zh-CN"/>
        </w:rPr>
        <w:t>146,074.52</w:t>
      </w:r>
      <w:r>
        <w:rPr>
          <w:rFonts w:hint="eastAsia" w:eastAsia="仿宋_GB2312"/>
          <w:color w:val="auto"/>
          <w:sz w:val="32"/>
          <w:szCs w:val="32"/>
          <w:highlight w:val="none"/>
        </w:rPr>
        <w:t>万元，202</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年度预算执行率为64</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79%。</w:t>
      </w:r>
    </w:p>
    <w:p w14:paraId="418DB82A">
      <w:pPr>
        <w:spacing w:line="600" w:lineRule="exact"/>
        <w:ind w:firstLine="640" w:firstLineChars="200"/>
        <w:outlineLvl w:val="2"/>
        <w:rPr>
          <w:rFonts w:eastAsia="仿宋_GB2312"/>
          <w:color w:val="auto"/>
          <w:sz w:val="32"/>
          <w:szCs w:val="32"/>
          <w:highlight w:val="none"/>
        </w:rPr>
      </w:pPr>
      <w:bookmarkStart w:id="45" w:name="_Toc32270"/>
      <w:r>
        <w:rPr>
          <w:rFonts w:hint="eastAsia" w:eastAsia="仿宋_GB2312"/>
          <w:color w:val="auto"/>
          <w:sz w:val="32"/>
          <w:szCs w:val="32"/>
          <w:highlight w:val="none"/>
        </w:rPr>
        <w:t>3、专项资金分配及组织管理情况</w:t>
      </w:r>
      <w:bookmarkEnd w:id="45"/>
    </w:p>
    <w:p w14:paraId="1A9A0BEC">
      <w:pPr>
        <w:spacing w:line="60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eastAsia="仿宋_GB2312"/>
          <w:color w:val="auto"/>
          <w:sz w:val="32"/>
          <w:szCs w:val="32"/>
          <w:highlight w:val="none"/>
          <w:lang w:val="en-US" w:eastAsia="zh-CN"/>
        </w:rPr>
        <w:t>根据《省预算内基本建设投资管理办法》（湘发改投资〔2015〕806号）、《省预算内基本建设投资废旧产品设备回收循环利用专项管理办法》（湘发改环资规〔2024〕365号）、《省预算内基本建设投资“五好”园区建设专项管理办法》（湘发改园区规〔2024〕368号）、《湖南省预算内基本建设投资省属公办本科高校学生宿舍建设专项管理办法（试行）》（湘发改社会规〔2024〕518号）、《湖南省重大投资项目前期工作经费管理办法》（湘发改投资规〔2024〕526号）等</w:t>
      </w:r>
      <w:r>
        <w:rPr>
          <w:rFonts w:hint="eastAsia" w:ascii="Times New Roman" w:hAnsi="Times New Roman" w:eastAsia="仿宋_GB2312" w:cs="Times New Roman"/>
          <w:color w:val="auto"/>
          <w:sz w:val="32"/>
          <w:szCs w:val="32"/>
          <w:highlight w:val="none"/>
          <w:lang w:val="en-US" w:eastAsia="zh-CN"/>
        </w:rPr>
        <w:t>文件</w:t>
      </w:r>
      <w:r>
        <w:rPr>
          <w:rFonts w:hint="eastAsia" w:eastAsia="仿宋_GB2312" w:cs="Times New Roman"/>
          <w:color w:val="auto"/>
          <w:sz w:val="32"/>
          <w:szCs w:val="32"/>
          <w:highlight w:val="none"/>
          <w:lang w:val="en-US" w:eastAsia="zh-CN"/>
        </w:rPr>
        <w:t>精神</w:t>
      </w:r>
      <w:r>
        <w:rPr>
          <w:rFonts w:hint="eastAsia" w:eastAsia="仿宋_GB2312"/>
          <w:color w:val="auto"/>
          <w:sz w:val="32"/>
          <w:szCs w:val="32"/>
          <w:highlight w:val="none"/>
        </w:rPr>
        <w:t>，</w:t>
      </w:r>
      <w:r>
        <w:rPr>
          <w:rFonts w:hint="eastAsia" w:ascii="Times New Roman" w:hAnsi="Times New Roman" w:eastAsia="仿宋_GB2312" w:cs="Times New Roman"/>
          <w:color w:val="auto"/>
          <w:kern w:val="0"/>
          <w:sz w:val="32"/>
          <w:szCs w:val="32"/>
          <w:highlight w:val="none"/>
        </w:rPr>
        <w:t>结合项目实施单位实际情况，</w:t>
      </w:r>
      <w:r>
        <w:rPr>
          <w:rFonts w:hint="eastAsia" w:ascii="Times New Roman" w:hAnsi="Times New Roman" w:eastAsia="仿宋_GB2312" w:cs="Times New Roman"/>
          <w:color w:val="auto"/>
          <w:kern w:val="0"/>
          <w:sz w:val="32"/>
          <w:szCs w:val="32"/>
          <w:highlight w:val="none"/>
          <w:lang w:val="en-US" w:eastAsia="zh-CN"/>
        </w:rPr>
        <w:t>我委</w:t>
      </w:r>
      <w:r>
        <w:rPr>
          <w:rFonts w:hint="eastAsia" w:eastAsia="仿宋_GB2312" w:cs="Times New Roman"/>
          <w:color w:val="auto"/>
          <w:kern w:val="0"/>
          <w:sz w:val="32"/>
          <w:szCs w:val="32"/>
          <w:highlight w:val="none"/>
          <w:lang w:eastAsia="zh-CN"/>
        </w:rPr>
        <w:t>2024年度省预算内基本建设专项资金</w:t>
      </w:r>
      <w:r>
        <w:rPr>
          <w:rFonts w:hint="eastAsia" w:ascii="Times New Roman" w:hAnsi="Times New Roman" w:eastAsia="仿宋_GB2312" w:cs="Times New Roman"/>
          <w:color w:val="auto"/>
          <w:kern w:val="0"/>
          <w:sz w:val="32"/>
          <w:szCs w:val="32"/>
          <w:highlight w:val="none"/>
          <w:lang w:val="en-US" w:eastAsia="zh-CN"/>
        </w:rPr>
        <w:t>除财政统筹部分外，</w:t>
      </w:r>
      <w:r>
        <w:rPr>
          <w:rFonts w:hint="eastAsia" w:ascii="Times New Roman" w:hAnsi="Times New Roman" w:eastAsia="仿宋_GB2312" w:cs="Times New Roman"/>
          <w:color w:val="auto"/>
          <w:kern w:val="0"/>
          <w:sz w:val="32"/>
          <w:szCs w:val="32"/>
          <w:highlight w:val="none"/>
        </w:rPr>
        <w:t>主要</w:t>
      </w:r>
      <w:r>
        <w:rPr>
          <w:rFonts w:hint="eastAsia" w:ascii="Times New Roman" w:hAnsi="Times New Roman" w:eastAsia="仿宋_GB2312" w:cs="Times New Roman"/>
          <w:color w:val="auto"/>
          <w:kern w:val="0"/>
          <w:sz w:val="32"/>
          <w:szCs w:val="32"/>
          <w:highlight w:val="none"/>
          <w:lang w:val="en-US" w:eastAsia="zh-CN"/>
        </w:rPr>
        <w:t>分配在落实重大战略和重大事项其他建设</w:t>
      </w:r>
      <w:r>
        <w:rPr>
          <w:rFonts w:hint="eastAsia" w:eastAsia="仿宋_GB2312" w:cs="Times New Roman"/>
          <w:color w:val="auto"/>
          <w:kern w:val="0"/>
          <w:sz w:val="32"/>
          <w:szCs w:val="32"/>
          <w:highlight w:val="none"/>
          <w:lang w:val="en-US" w:eastAsia="zh-CN"/>
        </w:rPr>
        <w:t>、重大投资项目前期工作经费、废旧物资回收循环利用</w:t>
      </w:r>
      <w:r>
        <w:rPr>
          <w:rFonts w:hint="eastAsia" w:ascii="Times New Roman" w:hAnsi="Times New Roman" w:eastAsia="仿宋_GB2312" w:cs="Times New Roman"/>
          <w:color w:val="auto"/>
          <w:kern w:val="0"/>
          <w:sz w:val="32"/>
          <w:szCs w:val="32"/>
          <w:highlight w:val="none"/>
          <w:lang w:val="en-US" w:eastAsia="zh-CN"/>
        </w:rPr>
        <w:t>3</w:t>
      </w:r>
      <w:r>
        <w:rPr>
          <w:rFonts w:hint="eastAsia" w:ascii="Times New Roman" w:hAnsi="Times New Roman" w:eastAsia="仿宋_GB2312" w:cs="Times New Roman"/>
          <w:color w:val="auto"/>
          <w:kern w:val="0"/>
          <w:sz w:val="32"/>
          <w:szCs w:val="32"/>
          <w:highlight w:val="none"/>
        </w:rPr>
        <w:t>个方面</w:t>
      </w:r>
      <w:r>
        <w:rPr>
          <w:rFonts w:hint="eastAsia" w:ascii="Times New Roman" w:hAnsi="Times New Roman" w:eastAsia="仿宋_GB2312" w:cs="Times New Roman"/>
          <w:color w:val="auto"/>
          <w:kern w:val="0"/>
          <w:sz w:val="32"/>
          <w:szCs w:val="32"/>
          <w:highlight w:val="none"/>
          <w:lang w:eastAsia="zh-CN"/>
        </w:rPr>
        <w:t>，资金安排99</w:t>
      </w:r>
      <w:r>
        <w:rPr>
          <w:rFonts w:hint="eastAsia"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eastAsia="zh-CN"/>
        </w:rPr>
        <w:t>958</w:t>
      </w:r>
      <w:r>
        <w:rPr>
          <w:rFonts w:hint="eastAsia" w:eastAsia="仿宋_GB2312" w:cs="Times New Roman"/>
          <w:color w:val="auto"/>
          <w:kern w:val="0"/>
          <w:sz w:val="32"/>
          <w:szCs w:val="32"/>
          <w:highlight w:val="none"/>
          <w:lang w:val="en-US" w:eastAsia="zh-CN"/>
        </w:rPr>
        <w:t>.00</w:t>
      </w:r>
      <w:r>
        <w:rPr>
          <w:rFonts w:hint="eastAsia" w:ascii="Times New Roman" w:hAnsi="Times New Roman" w:eastAsia="仿宋_GB2312" w:cs="Times New Roman"/>
          <w:color w:val="auto"/>
          <w:kern w:val="0"/>
          <w:sz w:val="32"/>
          <w:szCs w:val="32"/>
          <w:highlight w:val="none"/>
          <w:lang w:eastAsia="zh-CN"/>
        </w:rPr>
        <w:t>万元，占比</w:t>
      </w:r>
      <w:r>
        <w:rPr>
          <w:rFonts w:hint="eastAsia" w:eastAsia="仿宋_GB2312" w:cs="Times New Roman"/>
          <w:color w:val="auto"/>
          <w:kern w:val="0"/>
          <w:sz w:val="32"/>
          <w:szCs w:val="32"/>
          <w:highlight w:val="none"/>
          <w:lang w:val="en-US" w:eastAsia="zh-CN"/>
        </w:rPr>
        <w:t>64.27</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rPr>
        <w:t>。</w:t>
      </w:r>
      <w:r>
        <w:rPr>
          <w:rFonts w:hint="eastAsia" w:eastAsia="仿宋_GB2312"/>
          <w:color w:val="auto"/>
          <w:sz w:val="32"/>
          <w:szCs w:val="32"/>
          <w:highlight w:val="none"/>
        </w:rPr>
        <w:t>由项目实施单位按照</w:t>
      </w:r>
      <w:r>
        <w:rPr>
          <w:rFonts w:hint="eastAsia" w:eastAsia="仿宋_GB2312"/>
          <w:color w:val="auto"/>
          <w:sz w:val="32"/>
          <w:szCs w:val="32"/>
          <w:highlight w:val="none"/>
          <w:lang w:eastAsia="zh-CN"/>
        </w:rPr>
        <w:t>我</w:t>
      </w:r>
      <w:r>
        <w:rPr>
          <w:rFonts w:hint="eastAsia" w:eastAsia="仿宋_GB2312"/>
          <w:color w:val="auto"/>
          <w:sz w:val="32"/>
          <w:szCs w:val="32"/>
          <w:highlight w:val="none"/>
          <w:lang w:val="en-US" w:eastAsia="zh-CN"/>
        </w:rPr>
        <w:t>委发布的《关于组织申报2024年省预算内基建投资“五好”园区建设专项的通知》《关于做好2024年省预算内基建投资高校师生创业就业创新及北斗规模应用方向项目申报工作的通知》《关于组织开展2024年省预算内基建投资以县城为重要载体的城镇化试点建设专项项目申报工作的通知》《关于组织开展2024年省预算内基建投资废旧产品设备回收循环利用专项项目申报工作的通知》《关于开展重大投资项目前期工作经费申报的通知》《关于开展2024年第二批重大投资项目前期工作经费申报的通知》等</w:t>
      </w:r>
      <w:r>
        <w:rPr>
          <w:rFonts w:hint="eastAsia" w:ascii="Times New Roman" w:hAnsi="Times New Roman" w:eastAsia="仿宋_GB2312" w:cs="Times New Roman"/>
          <w:color w:val="auto"/>
          <w:kern w:val="0"/>
          <w:sz w:val="32"/>
          <w:szCs w:val="32"/>
          <w:highlight w:val="none"/>
        </w:rPr>
        <w:t>各子项目</w:t>
      </w:r>
      <w:r>
        <w:rPr>
          <w:rFonts w:hint="eastAsia" w:eastAsia="仿宋_GB2312" w:cs="Times New Roman"/>
          <w:color w:val="auto"/>
          <w:kern w:val="0"/>
          <w:sz w:val="32"/>
          <w:szCs w:val="32"/>
          <w:highlight w:val="none"/>
          <w:lang w:val="en-US" w:eastAsia="zh-CN"/>
        </w:rPr>
        <w:t>申报</w:t>
      </w:r>
      <w:r>
        <w:rPr>
          <w:rFonts w:hint="eastAsia" w:eastAsia="仿宋_GB2312"/>
          <w:color w:val="auto"/>
          <w:sz w:val="32"/>
          <w:szCs w:val="32"/>
          <w:highlight w:val="none"/>
          <w:lang w:val="en-US" w:eastAsia="zh-CN"/>
        </w:rPr>
        <w:t>通知</w:t>
      </w:r>
      <w:r>
        <w:rPr>
          <w:rFonts w:hint="eastAsia" w:eastAsia="仿宋_GB2312"/>
          <w:color w:val="auto"/>
          <w:sz w:val="32"/>
          <w:szCs w:val="32"/>
          <w:highlight w:val="none"/>
        </w:rPr>
        <w:t>要求进行申报，并提交纸质申报材料，</w:t>
      </w:r>
      <w:r>
        <w:rPr>
          <w:rFonts w:hint="eastAsia" w:ascii="Times New Roman" w:hAnsi="Times New Roman" w:eastAsia="仿宋_GB2312" w:cs="Times New Roman"/>
          <w:color w:val="auto"/>
          <w:kern w:val="0"/>
          <w:sz w:val="32"/>
          <w:szCs w:val="32"/>
          <w:highlight w:val="none"/>
        </w:rPr>
        <w:t>由</w:t>
      </w:r>
      <w:r>
        <w:rPr>
          <w:rFonts w:hint="eastAsia" w:eastAsia="仿宋_GB2312" w:cs="Times New Roman"/>
          <w:color w:val="auto"/>
          <w:kern w:val="0"/>
          <w:sz w:val="32"/>
          <w:szCs w:val="32"/>
          <w:highlight w:val="none"/>
          <w:lang w:val="en-US" w:eastAsia="zh-CN"/>
        </w:rPr>
        <w:t>省直单位、</w:t>
      </w:r>
      <w:r>
        <w:rPr>
          <w:rFonts w:hint="eastAsia" w:ascii="Times New Roman" w:hAnsi="Times New Roman" w:eastAsia="仿宋_GB2312" w:cs="Times New Roman"/>
          <w:color w:val="auto"/>
          <w:kern w:val="0"/>
          <w:sz w:val="32"/>
          <w:szCs w:val="32"/>
          <w:highlight w:val="none"/>
        </w:rPr>
        <w:t>各市州发改委初审后汇总报送我委，省直单位、各市州发改委对报送的项目申报材料的真实性、完整性、合法性严格把关，我委汇总后组织审查，确定拟支持的项目后按程序进行公示</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公示无异议后</w:t>
      </w:r>
      <w:r>
        <w:rPr>
          <w:rFonts w:hint="eastAsia" w:eastAsia="仿宋_GB2312"/>
          <w:color w:val="auto"/>
          <w:sz w:val="32"/>
          <w:szCs w:val="32"/>
          <w:highlight w:val="none"/>
        </w:rPr>
        <w:t>及时下拨资金，并对项目执行、资金使用等方面进行监督管理，项目完工后，项目实施单位</w:t>
      </w:r>
      <w:r>
        <w:rPr>
          <w:rFonts w:hint="eastAsia" w:eastAsia="仿宋_GB2312"/>
          <w:color w:val="auto"/>
          <w:sz w:val="32"/>
          <w:szCs w:val="32"/>
          <w:highlight w:val="none"/>
          <w:lang w:eastAsia="zh-CN"/>
        </w:rPr>
        <w:t>按相关规定及时办理项目竣工验收手续。2024年度省预算内基本建设专项资金</w:t>
      </w:r>
      <w:r>
        <w:rPr>
          <w:rFonts w:hint="eastAsia" w:ascii="Times New Roman" w:hAnsi="Times New Roman" w:eastAsia="仿宋_GB2312" w:cs="Times New Roman"/>
          <w:color w:val="auto"/>
          <w:kern w:val="0"/>
          <w:sz w:val="32"/>
          <w:szCs w:val="32"/>
          <w:highlight w:val="none"/>
          <w:lang w:val="en-US" w:eastAsia="zh-CN"/>
        </w:rPr>
        <w:t>项目具体分配明细如下：</w:t>
      </w:r>
    </w:p>
    <w:p w14:paraId="76D24010">
      <w:pPr>
        <w:spacing w:line="600" w:lineRule="exact"/>
        <w:jc w:val="right"/>
        <w:rPr>
          <w:rFonts w:hint="eastAsia" w:eastAsia="仿宋_GB2312" w:cs="Times New Roman"/>
          <w:color w:val="auto"/>
          <w:kern w:val="0"/>
          <w:sz w:val="32"/>
          <w:szCs w:val="32"/>
          <w:highlight w:val="none"/>
          <w:lang w:val="en-US" w:eastAsia="zh-CN"/>
        </w:rPr>
      </w:pPr>
      <w:r>
        <w:rPr>
          <w:rFonts w:hint="eastAsia" w:eastAsia="仿宋_GB2312" w:cs="Times New Roman"/>
          <w:color w:val="auto"/>
          <w:kern w:val="0"/>
          <w:sz w:val="32"/>
          <w:szCs w:val="32"/>
          <w:highlight w:val="none"/>
          <w:lang w:val="en-US" w:eastAsia="zh-CN"/>
        </w:rPr>
        <w:t>单位：万元</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5577"/>
        <w:gridCol w:w="1531"/>
        <w:gridCol w:w="1139"/>
      </w:tblGrid>
      <w:tr w14:paraId="6AED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blHeader/>
        </w:trPr>
        <w:tc>
          <w:tcPr>
            <w:tcW w:w="416" w:type="pct"/>
            <w:shd w:val="clear" w:color="auto" w:fill="auto"/>
            <w:noWrap/>
            <w:vAlign w:val="center"/>
          </w:tcPr>
          <w:p w14:paraId="3F9837BA">
            <w:pPr>
              <w:keepNext w:val="0"/>
              <w:keepLines w:val="0"/>
              <w:widowControl/>
              <w:suppressLineNumbers w:val="0"/>
              <w:jc w:val="center"/>
              <w:textAlignment w:val="center"/>
              <w:rPr>
                <w:rFonts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3099" w:type="pct"/>
            <w:shd w:val="clear" w:color="auto" w:fill="auto"/>
            <w:noWrap/>
            <w:vAlign w:val="center"/>
          </w:tcPr>
          <w:p w14:paraId="426AB0F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专项资金分配方向</w:t>
            </w:r>
          </w:p>
        </w:tc>
        <w:tc>
          <w:tcPr>
            <w:tcW w:w="850" w:type="pct"/>
            <w:shd w:val="clear" w:color="auto" w:fill="auto"/>
            <w:noWrap/>
            <w:vAlign w:val="center"/>
          </w:tcPr>
          <w:p w14:paraId="10C72E1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金额</w:t>
            </w:r>
          </w:p>
        </w:tc>
        <w:tc>
          <w:tcPr>
            <w:tcW w:w="632" w:type="pct"/>
            <w:shd w:val="clear" w:color="auto" w:fill="auto"/>
            <w:noWrap/>
            <w:vAlign w:val="center"/>
          </w:tcPr>
          <w:p w14:paraId="6E006BD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占比</w:t>
            </w:r>
          </w:p>
        </w:tc>
      </w:tr>
      <w:tr w14:paraId="7580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1919E6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3099" w:type="pct"/>
            <w:shd w:val="clear" w:color="auto" w:fill="auto"/>
            <w:noWrap/>
            <w:vAlign w:val="center"/>
          </w:tcPr>
          <w:p w14:paraId="481F721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财政统筹资金</w:t>
            </w:r>
          </w:p>
        </w:tc>
        <w:tc>
          <w:tcPr>
            <w:tcW w:w="850" w:type="pct"/>
            <w:shd w:val="clear" w:color="auto" w:fill="auto"/>
            <w:noWrap/>
            <w:vAlign w:val="center"/>
          </w:tcPr>
          <w:p w14:paraId="30F312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69,934.00</w:t>
            </w:r>
          </w:p>
        </w:tc>
        <w:tc>
          <w:tcPr>
            <w:tcW w:w="632" w:type="pct"/>
            <w:shd w:val="clear" w:color="auto" w:fill="auto"/>
            <w:noWrap/>
            <w:vAlign w:val="center"/>
          </w:tcPr>
          <w:p w14:paraId="2B0E5C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31.02%</w:t>
            </w:r>
          </w:p>
        </w:tc>
      </w:tr>
      <w:tr w14:paraId="436A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416" w:type="pct"/>
            <w:shd w:val="clear" w:color="auto" w:fill="auto"/>
            <w:noWrap/>
            <w:vAlign w:val="center"/>
          </w:tcPr>
          <w:p w14:paraId="1D25BB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3099" w:type="pct"/>
            <w:shd w:val="clear" w:color="auto" w:fill="auto"/>
            <w:noWrap/>
            <w:vAlign w:val="center"/>
          </w:tcPr>
          <w:p w14:paraId="741CF96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其中：（1）省机场集团长沙黄花机场改扩建工程</w:t>
            </w:r>
          </w:p>
        </w:tc>
        <w:tc>
          <w:tcPr>
            <w:tcW w:w="850" w:type="pct"/>
            <w:shd w:val="clear" w:color="auto" w:fill="auto"/>
            <w:noWrap/>
            <w:vAlign w:val="center"/>
          </w:tcPr>
          <w:p w14:paraId="64978A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40,000.00</w:t>
            </w:r>
          </w:p>
        </w:tc>
        <w:tc>
          <w:tcPr>
            <w:tcW w:w="632" w:type="pct"/>
            <w:shd w:val="clear" w:color="auto" w:fill="auto"/>
            <w:noWrap/>
            <w:vAlign w:val="center"/>
          </w:tcPr>
          <w:p w14:paraId="45FFE7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17.74%</w:t>
            </w:r>
          </w:p>
        </w:tc>
      </w:tr>
      <w:tr w14:paraId="46EE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3782B2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3099" w:type="pct"/>
            <w:shd w:val="clear" w:color="auto" w:fill="auto"/>
            <w:noWrap/>
            <w:vAlign w:val="center"/>
          </w:tcPr>
          <w:p w14:paraId="567ACCA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（2）省水利厅毛俊水库省重大水利发展专项垫付省级配套资金</w:t>
            </w:r>
          </w:p>
        </w:tc>
        <w:tc>
          <w:tcPr>
            <w:tcW w:w="850" w:type="pct"/>
            <w:shd w:val="clear" w:color="auto" w:fill="auto"/>
            <w:noWrap/>
            <w:vAlign w:val="center"/>
          </w:tcPr>
          <w:p w14:paraId="1B3B366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10,984.00</w:t>
            </w:r>
          </w:p>
        </w:tc>
        <w:tc>
          <w:tcPr>
            <w:tcW w:w="632" w:type="pct"/>
            <w:shd w:val="clear" w:color="auto" w:fill="auto"/>
            <w:noWrap/>
            <w:vAlign w:val="center"/>
          </w:tcPr>
          <w:p w14:paraId="5E85DA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4.87%</w:t>
            </w:r>
          </w:p>
        </w:tc>
      </w:tr>
      <w:tr w14:paraId="260E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32711A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3099" w:type="pct"/>
            <w:shd w:val="clear" w:color="auto" w:fill="auto"/>
            <w:noWrap/>
            <w:vAlign w:val="center"/>
          </w:tcPr>
          <w:p w14:paraId="1EE5456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（3）全省消防基础设施建设配套资金</w:t>
            </w:r>
          </w:p>
        </w:tc>
        <w:tc>
          <w:tcPr>
            <w:tcW w:w="850" w:type="pct"/>
            <w:shd w:val="clear" w:color="auto" w:fill="auto"/>
            <w:noWrap/>
            <w:vAlign w:val="center"/>
          </w:tcPr>
          <w:p w14:paraId="6A1530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5,000.00</w:t>
            </w:r>
          </w:p>
        </w:tc>
        <w:tc>
          <w:tcPr>
            <w:tcW w:w="632" w:type="pct"/>
            <w:shd w:val="clear" w:color="auto" w:fill="auto"/>
            <w:noWrap/>
            <w:vAlign w:val="center"/>
          </w:tcPr>
          <w:p w14:paraId="0FD5BF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2.22%</w:t>
            </w:r>
          </w:p>
        </w:tc>
      </w:tr>
      <w:tr w14:paraId="6380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75D9E9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3099" w:type="pct"/>
            <w:shd w:val="clear" w:color="auto" w:fill="auto"/>
            <w:noWrap/>
            <w:vAlign w:val="center"/>
          </w:tcPr>
          <w:p w14:paraId="5071013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（4）省气象局省气象灾害监测预警信息化工程</w:t>
            </w:r>
          </w:p>
        </w:tc>
        <w:tc>
          <w:tcPr>
            <w:tcW w:w="850" w:type="pct"/>
            <w:shd w:val="clear" w:color="auto" w:fill="auto"/>
            <w:noWrap/>
            <w:vAlign w:val="center"/>
          </w:tcPr>
          <w:p w14:paraId="3AE55A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4,000.00</w:t>
            </w:r>
          </w:p>
        </w:tc>
        <w:tc>
          <w:tcPr>
            <w:tcW w:w="632" w:type="pct"/>
            <w:shd w:val="clear" w:color="auto" w:fill="auto"/>
            <w:noWrap/>
            <w:vAlign w:val="center"/>
          </w:tcPr>
          <w:p w14:paraId="177829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1.77%</w:t>
            </w:r>
          </w:p>
        </w:tc>
      </w:tr>
      <w:tr w14:paraId="7300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416" w:type="pct"/>
            <w:shd w:val="clear" w:color="auto" w:fill="auto"/>
            <w:noWrap/>
            <w:vAlign w:val="center"/>
          </w:tcPr>
          <w:p w14:paraId="24F6C0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3099" w:type="pct"/>
            <w:shd w:val="clear" w:color="auto" w:fill="auto"/>
            <w:noWrap/>
            <w:vAlign w:val="center"/>
          </w:tcPr>
          <w:p w14:paraId="7B87B3D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（5）岳阳城陵矶口岸航运物流发展</w:t>
            </w:r>
          </w:p>
        </w:tc>
        <w:tc>
          <w:tcPr>
            <w:tcW w:w="850" w:type="pct"/>
            <w:shd w:val="clear" w:color="auto" w:fill="auto"/>
            <w:noWrap/>
            <w:vAlign w:val="center"/>
          </w:tcPr>
          <w:p w14:paraId="769E00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3,000.00</w:t>
            </w:r>
          </w:p>
        </w:tc>
        <w:tc>
          <w:tcPr>
            <w:tcW w:w="632" w:type="pct"/>
            <w:shd w:val="clear" w:color="auto" w:fill="auto"/>
            <w:noWrap/>
            <w:vAlign w:val="center"/>
          </w:tcPr>
          <w:p w14:paraId="33C37D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1.33%</w:t>
            </w:r>
          </w:p>
        </w:tc>
      </w:tr>
      <w:tr w14:paraId="7C92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658EB2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3099" w:type="pct"/>
            <w:shd w:val="clear" w:color="auto" w:fill="auto"/>
            <w:noWrap/>
            <w:vAlign w:val="center"/>
          </w:tcPr>
          <w:p w14:paraId="359FA94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（6）怀化国际陆港建设和物流发展</w:t>
            </w:r>
          </w:p>
        </w:tc>
        <w:tc>
          <w:tcPr>
            <w:tcW w:w="850" w:type="pct"/>
            <w:shd w:val="clear" w:color="auto" w:fill="auto"/>
            <w:noWrap/>
            <w:vAlign w:val="center"/>
          </w:tcPr>
          <w:p w14:paraId="292E7E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3,000.00</w:t>
            </w:r>
          </w:p>
        </w:tc>
        <w:tc>
          <w:tcPr>
            <w:tcW w:w="632" w:type="pct"/>
            <w:shd w:val="clear" w:color="auto" w:fill="auto"/>
            <w:noWrap/>
            <w:vAlign w:val="center"/>
          </w:tcPr>
          <w:p w14:paraId="296A66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1.33%</w:t>
            </w:r>
          </w:p>
        </w:tc>
      </w:tr>
      <w:tr w14:paraId="645A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71B15B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3099" w:type="pct"/>
            <w:shd w:val="clear" w:color="auto" w:fill="auto"/>
            <w:noWrap/>
            <w:vAlign w:val="center"/>
          </w:tcPr>
          <w:p w14:paraId="22BAAE6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（7）沿江化工企业搬迁改造</w:t>
            </w:r>
          </w:p>
        </w:tc>
        <w:tc>
          <w:tcPr>
            <w:tcW w:w="850" w:type="pct"/>
            <w:shd w:val="clear" w:color="auto" w:fill="auto"/>
            <w:noWrap/>
            <w:vAlign w:val="center"/>
          </w:tcPr>
          <w:p w14:paraId="0C9330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2,700.00</w:t>
            </w:r>
          </w:p>
        </w:tc>
        <w:tc>
          <w:tcPr>
            <w:tcW w:w="632" w:type="pct"/>
            <w:shd w:val="clear" w:color="auto" w:fill="auto"/>
            <w:noWrap/>
            <w:vAlign w:val="center"/>
          </w:tcPr>
          <w:p w14:paraId="4AC296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w:t>
            </w:r>
          </w:p>
        </w:tc>
      </w:tr>
      <w:tr w14:paraId="7398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2DEEED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3099" w:type="pct"/>
            <w:shd w:val="clear" w:color="auto" w:fill="auto"/>
            <w:noWrap/>
            <w:vAlign w:val="center"/>
          </w:tcPr>
          <w:p w14:paraId="6062497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（8）省气象局东南区域人工影响天气能力建设（湖南段）</w:t>
            </w:r>
          </w:p>
        </w:tc>
        <w:tc>
          <w:tcPr>
            <w:tcW w:w="850" w:type="pct"/>
            <w:shd w:val="clear" w:color="auto" w:fill="auto"/>
            <w:noWrap/>
            <w:vAlign w:val="center"/>
          </w:tcPr>
          <w:p w14:paraId="1EDB7E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1,000.00</w:t>
            </w:r>
          </w:p>
        </w:tc>
        <w:tc>
          <w:tcPr>
            <w:tcW w:w="632" w:type="pct"/>
            <w:shd w:val="clear" w:color="auto" w:fill="auto"/>
            <w:noWrap/>
            <w:vAlign w:val="center"/>
          </w:tcPr>
          <w:p w14:paraId="4E5F1D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0.44%</w:t>
            </w:r>
          </w:p>
        </w:tc>
      </w:tr>
      <w:tr w14:paraId="1A38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416" w:type="pct"/>
            <w:shd w:val="clear" w:color="auto" w:fill="auto"/>
            <w:noWrap/>
            <w:vAlign w:val="center"/>
          </w:tcPr>
          <w:p w14:paraId="74CBEA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3099" w:type="pct"/>
            <w:shd w:val="clear" w:color="auto" w:fill="auto"/>
            <w:noWrap/>
            <w:vAlign w:val="center"/>
          </w:tcPr>
          <w:p w14:paraId="36D7BB9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（9）通用航空产业博览会办展经费补助</w:t>
            </w:r>
          </w:p>
        </w:tc>
        <w:tc>
          <w:tcPr>
            <w:tcW w:w="850" w:type="pct"/>
            <w:shd w:val="clear" w:color="auto" w:fill="auto"/>
            <w:noWrap/>
            <w:vAlign w:val="center"/>
          </w:tcPr>
          <w:p w14:paraId="6AE0B0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250.00</w:t>
            </w:r>
          </w:p>
        </w:tc>
        <w:tc>
          <w:tcPr>
            <w:tcW w:w="632" w:type="pct"/>
            <w:shd w:val="clear" w:color="auto" w:fill="auto"/>
            <w:noWrap/>
            <w:vAlign w:val="center"/>
          </w:tcPr>
          <w:p w14:paraId="1350C6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0.11%</w:t>
            </w:r>
          </w:p>
        </w:tc>
      </w:tr>
      <w:tr w14:paraId="5991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6B2000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3099" w:type="pct"/>
            <w:shd w:val="clear" w:color="auto" w:fill="auto"/>
            <w:vAlign w:val="center"/>
          </w:tcPr>
          <w:p w14:paraId="6F10BE2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落实重大战略和重大事项其他建设项目</w:t>
            </w:r>
          </w:p>
        </w:tc>
        <w:tc>
          <w:tcPr>
            <w:tcW w:w="850" w:type="pct"/>
            <w:shd w:val="clear" w:color="auto" w:fill="auto"/>
            <w:noWrap/>
            <w:vAlign w:val="center"/>
          </w:tcPr>
          <w:p w14:paraId="7C0086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64,958.00</w:t>
            </w:r>
          </w:p>
        </w:tc>
        <w:tc>
          <w:tcPr>
            <w:tcW w:w="632" w:type="pct"/>
            <w:shd w:val="clear" w:color="auto" w:fill="auto"/>
            <w:noWrap/>
            <w:vAlign w:val="center"/>
          </w:tcPr>
          <w:p w14:paraId="50DD89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28.81%</w:t>
            </w:r>
          </w:p>
        </w:tc>
      </w:tr>
      <w:tr w14:paraId="6C32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6042A9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3099" w:type="pct"/>
            <w:shd w:val="clear" w:color="auto" w:fill="auto"/>
            <w:noWrap/>
            <w:vAlign w:val="center"/>
          </w:tcPr>
          <w:p w14:paraId="4643936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重大投资项目前期工作经费</w:t>
            </w:r>
          </w:p>
        </w:tc>
        <w:tc>
          <w:tcPr>
            <w:tcW w:w="850" w:type="pct"/>
            <w:shd w:val="clear" w:color="auto" w:fill="auto"/>
            <w:noWrap/>
            <w:vAlign w:val="center"/>
          </w:tcPr>
          <w:p w14:paraId="4676BD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20,000.00</w:t>
            </w:r>
          </w:p>
        </w:tc>
        <w:tc>
          <w:tcPr>
            <w:tcW w:w="632" w:type="pct"/>
            <w:shd w:val="clear" w:color="auto" w:fill="auto"/>
            <w:noWrap/>
            <w:vAlign w:val="center"/>
          </w:tcPr>
          <w:p w14:paraId="383BAA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8.87%</w:t>
            </w:r>
          </w:p>
        </w:tc>
      </w:tr>
      <w:tr w14:paraId="0839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13F696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3099" w:type="pct"/>
            <w:shd w:val="clear" w:color="auto" w:fill="auto"/>
            <w:noWrap/>
            <w:vAlign w:val="center"/>
          </w:tcPr>
          <w:p w14:paraId="28CE818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废旧物资回收循环利用专项项目</w:t>
            </w:r>
          </w:p>
        </w:tc>
        <w:tc>
          <w:tcPr>
            <w:tcW w:w="850" w:type="pct"/>
            <w:shd w:val="clear" w:color="auto" w:fill="auto"/>
            <w:noWrap/>
            <w:vAlign w:val="center"/>
          </w:tcPr>
          <w:p w14:paraId="1F1B4F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15,000.00</w:t>
            </w:r>
          </w:p>
        </w:tc>
        <w:tc>
          <w:tcPr>
            <w:tcW w:w="632" w:type="pct"/>
            <w:shd w:val="clear" w:color="auto" w:fill="auto"/>
            <w:noWrap/>
            <w:vAlign w:val="center"/>
          </w:tcPr>
          <w:p w14:paraId="6357D2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6.65%</w:t>
            </w:r>
          </w:p>
        </w:tc>
      </w:tr>
      <w:tr w14:paraId="2CB9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217E84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3099" w:type="pct"/>
            <w:shd w:val="clear" w:color="auto" w:fill="auto"/>
            <w:vAlign w:val="center"/>
          </w:tcPr>
          <w:p w14:paraId="28723DA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真抓实干督查激励等措施以及开展项目评审、验收、编制“十五五”规划、开展重大课题研究等</w:t>
            </w:r>
          </w:p>
        </w:tc>
        <w:tc>
          <w:tcPr>
            <w:tcW w:w="850" w:type="pct"/>
            <w:shd w:val="clear" w:color="auto" w:fill="auto"/>
            <w:noWrap/>
            <w:vAlign w:val="center"/>
          </w:tcPr>
          <w:p w14:paraId="31331A2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13,809.00</w:t>
            </w:r>
          </w:p>
        </w:tc>
        <w:tc>
          <w:tcPr>
            <w:tcW w:w="632" w:type="pct"/>
            <w:shd w:val="clear" w:color="auto" w:fill="auto"/>
            <w:noWrap/>
            <w:vAlign w:val="center"/>
          </w:tcPr>
          <w:p w14:paraId="2EEB64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6.13%</w:t>
            </w:r>
          </w:p>
        </w:tc>
      </w:tr>
      <w:tr w14:paraId="7ECC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416" w:type="pct"/>
            <w:shd w:val="clear" w:color="auto" w:fill="auto"/>
            <w:noWrap/>
            <w:vAlign w:val="center"/>
          </w:tcPr>
          <w:p w14:paraId="25A826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3099" w:type="pct"/>
            <w:shd w:val="clear" w:color="auto" w:fill="auto"/>
            <w:noWrap/>
            <w:vAlign w:val="center"/>
          </w:tcPr>
          <w:p w14:paraId="5CC30CC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“五好园区”建设项目</w:t>
            </w:r>
          </w:p>
        </w:tc>
        <w:tc>
          <w:tcPr>
            <w:tcW w:w="850" w:type="pct"/>
            <w:shd w:val="clear" w:color="auto" w:fill="auto"/>
            <w:noWrap/>
            <w:vAlign w:val="center"/>
          </w:tcPr>
          <w:p w14:paraId="27D103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11,750.00</w:t>
            </w:r>
          </w:p>
        </w:tc>
        <w:tc>
          <w:tcPr>
            <w:tcW w:w="632" w:type="pct"/>
            <w:shd w:val="clear" w:color="auto" w:fill="auto"/>
            <w:noWrap/>
            <w:vAlign w:val="center"/>
          </w:tcPr>
          <w:p w14:paraId="3B27FF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5.21%</w:t>
            </w:r>
          </w:p>
        </w:tc>
      </w:tr>
      <w:tr w14:paraId="5CFE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416" w:type="pct"/>
            <w:shd w:val="clear" w:color="auto" w:fill="auto"/>
            <w:noWrap/>
            <w:vAlign w:val="center"/>
          </w:tcPr>
          <w:p w14:paraId="640283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3099" w:type="pct"/>
            <w:shd w:val="clear" w:color="auto" w:fill="auto"/>
            <w:noWrap/>
            <w:vAlign w:val="center"/>
          </w:tcPr>
          <w:p w14:paraId="3DE9665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省属公办本科高校学生宿舍建设</w:t>
            </w:r>
          </w:p>
        </w:tc>
        <w:tc>
          <w:tcPr>
            <w:tcW w:w="850" w:type="pct"/>
            <w:shd w:val="clear" w:color="auto" w:fill="auto"/>
            <w:noWrap/>
            <w:vAlign w:val="center"/>
          </w:tcPr>
          <w:p w14:paraId="6CE654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10,000.00</w:t>
            </w:r>
          </w:p>
        </w:tc>
        <w:tc>
          <w:tcPr>
            <w:tcW w:w="632" w:type="pct"/>
            <w:shd w:val="clear" w:color="auto" w:fill="auto"/>
            <w:noWrap/>
            <w:vAlign w:val="center"/>
          </w:tcPr>
          <w:p w14:paraId="293EE8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4.44%</w:t>
            </w:r>
          </w:p>
        </w:tc>
      </w:tr>
      <w:tr w14:paraId="0917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5AE566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3099" w:type="pct"/>
            <w:shd w:val="clear" w:color="auto" w:fill="auto"/>
            <w:noWrap/>
            <w:vAlign w:val="center"/>
          </w:tcPr>
          <w:p w14:paraId="388391A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省级储备粮仓储建设</w:t>
            </w:r>
          </w:p>
        </w:tc>
        <w:tc>
          <w:tcPr>
            <w:tcW w:w="850" w:type="pct"/>
            <w:shd w:val="clear" w:color="auto" w:fill="auto"/>
            <w:noWrap/>
            <w:vAlign w:val="center"/>
          </w:tcPr>
          <w:p w14:paraId="27DFC7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8,000.00</w:t>
            </w:r>
          </w:p>
        </w:tc>
        <w:tc>
          <w:tcPr>
            <w:tcW w:w="632" w:type="pct"/>
            <w:shd w:val="clear" w:color="auto" w:fill="auto"/>
            <w:noWrap/>
            <w:vAlign w:val="center"/>
          </w:tcPr>
          <w:p w14:paraId="5A53E3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3.55%</w:t>
            </w:r>
          </w:p>
        </w:tc>
      </w:tr>
      <w:tr w14:paraId="03DA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416" w:type="pct"/>
            <w:shd w:val="clear" w:color="auto" w:fill="auto"/>
            <w:noWrap/>
            <w:vAlign w:val="center"/>
          </w:tcPr>
          <w:p w14:paraId="1D4E46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3099" w:type="pct"/>
            <w:shd w:val="clear" w:color="auto" w:fill="auto"/>
            <w:noWrap/>
            <w:vAlign w:val="center"/>
          </w:tcPr>
          <w:p w14:paraId="3849A0F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旅游发展大会支持</w:t>
            </w:r>
          </w:p>
        </w:tc>
        <w:tc>
          <w:tcPr>
            <w:tcW w:w="850" w:type="pct"/>
            <w:shd w:val="clear" w:color="auto" w:fill="auto"/>
            <w:noWrap/>
            <w:vAlign w:val="center"/>
          </w:tcPr>
          <w:p w14:paraId="515004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5,000.00</w:t>
            </w:r>
          </w:p>
        </w:tc>
        <w:tc>
          <w:tcPr>
            <w:tcW w:w="632" w:type="pct"/>
            <w:shd w:val="clear" w:color="auto" w:fill="auto"/>
            <w:noWrap/>
            <w:vAlign w:val="center"/>
          </w:tcPr>
          <w:p w14:paraId="3C29170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2.22%</w:t>
            </w:r>
          </w:p>
        </w:tc>
      </w:tr>
      <w:tr w14:paraId="2C25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4677E5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3099" w:type="pct"/>
            <w:shd w:val="clear" w:color="auto" w:fill="auto"/>
            <w:noWrap/>
            <w:vAlign w:val="center"/>
          </w:tcPr>
          <w:p w14:paraId="1D72D51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高校师生创业就业创新及北斗规模应用项目</w:t>
            </w:r>
          </w:p>
        </w:tc>
        <w:tc>
          <w:tcPr>
            <w:tcW w:w="850" w:type="pct"/>
            <w:shd w:val="clear" w:color="auto" w:fill="auto"/>
            <w:noWrap/>
            <w:vAlign w:val="center"/>
          </w:tcPr>
          <w:p w14:paraId="61E6F2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5,000.00</w:t>
            </w:r>
          </w:p>
        </w:tc>
        <w:tc>
          <w:tcPr>
            <w:tcW w:w="632" w:type="pct"/>
            <w:shd w:val="clear" w:color="auto" w:fill="auto"/>
            <w:noWrap/>
            <w:vAlign w:val="center"/>
          </w:tcPr>
          <w:p w14:paraId="3AC38B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2.22%</w:t>
            </w:r>
          </w:p>
        </w:tc>
      </w:tr>
      <w:tr w14:paraId="19CB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6" w:type="pct"/>
            <w:shd w:val="clear" w:color="auto" w:fill="auto"/>
            <w:noWrap/>
            <w:vAlign w:val="center"/>
          </w:tcPr>
          <w:p w14:paraId="7B67C1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3099" w:type="pct"/>
            <w:shd w:val="clear" w:color="auto" w:fill="auto"/>
            <w:noWrap/>
            <w:vAlign w:val="center"/>
          </w:tcPr>
          <w:p w14:paraId="2DBEF8B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以县城为重要载体的城镇化试点支持项目</w:t>
            </w:r>
          </w:p>
        </w:tc>
        <w:tc>
          <w:tcPr>
            <w:tcW w:w="850" w:type="pct"/>
            <w:shd w:val="clear" w:color="auto" w:fill="auto"/>
            <w:noWrap/>
            <w:vAlign w:val="center"/>
          </w:tcPr>
          <w:p w14:paraId="771C3C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2,000.00</w:t>
            </w:r>
          </w:p>
        </w:tc>
        <w:tc>
          <w:tcPr>
            <w:tcW w:w="632" w:type="pct"/>
            <w:shd w:val="clear" w:color="auto" w:fill="auto"/>
            <w:noWrap/>
            <w:vAlign w:val="center"/>
          </w:tcPr>
          <w:p w14:paraId="184B9C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0.89%</w:t>
            </w:r>
          </w:p>
        </w:tc>
      </w:tr>
      <w:tr w14:paraId="324A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516" w:type="pct"/>
            <w:gridSpan w:val="2"/>
            <w:shd w:val="clear" w:color="auto" w:fill="auto"/>
            <w:noWrap/>
            <w:vAlign w:val="center"/>
          </w:tcPr>
          <w:p w14:paraId="253FAC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合计</w:t>
            </w:r>
          </w:p>
        </w:tc>
        <w:tc>
          <w:tcPr>
            <w:tcW w:w="850" w:type="pct"/>
            <w:shd w:val="clear" w:color="auto" w:fill="auto"/>
            <w:noWrap/>
            <w:vAlign w:val="center"/>
          </w:tcPr>
          <w:p w14:paraId="3C3BF0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225,451.00</w:t>
            </w:r>
          </w:p>
        </w:tc>
        <w:tc>
          <w:tcPr>
            <w:tcW w:w="632" w:type="pct"/>
            <w:shd w:val="clear" w:color="auto" w:fill="auto"/>
            <w:noWrap/>
            <w:vAlign w:val="center"/>
          </w:tcPr>
          <w:p w14:paraId="62A134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100.00%</w:t>
            </w:r>
          </w:p>
        </w:tc>
      </w:tr>
    </w:tbl>
    <w:p w14:paraId="1BA0AACB">
      <w:pPr>
        <w:spacing w:line="600" w:lineRule="exact"/>
        <w:ind w:firstLine="643" w:firstLineChars="200"/>
        <w:outlineLvl w:val="1"/>
        <w:rPr>
          <w:rFonts w:hint="eastAsia" w:eastAsia="楷体_GB2312"/>
          <w:b/>
          <w:color w:val="auto"/>
          <w:sz w:val="32"/>
          <w:szCs w:val="32"/>
          <w:highlight w:val="none"/>
          <w:lang w:eastAsia="zh-CN"/>
        </w:rPr>
      </w:pPr>
      <w:bookmarkStart w:id="46" w:name="_Toc19841_WPSOffice_Level2"/>
      <w:bookmarkStart w:id="47" w:name="_Toc20960"/>
      <w:bookmarkStart w:id="48" w:name="_Toc3428"/>
      <w:r>
        <w:rPr>
          <w:rFonts w:hint="eastAsia" w:eastAsia="楷体_GB2312"/>
          <w:b/>
          <w:color w:val="auto"/>
          <w:sz w:val="32"/>
          <w:szCs w:val="32"/>
          <w:highlight w:val="none"/>
        </w:rPr>
        <w:t>（三）</w:t>
      </w:r>
      <w:r>
        <w:rPr>
          <w:rFonts w:hint="eastAsia" w:eastAsia="楷体_GB2312"/>
          <w:b/>
          <w:color w:val="auto"/>
          <w:sz w:val="32"/>
          <w:szCs w:val="32"/>
          <w:highlight w:val="none"/>
          <w:lang w:eastAsia="zh-CN"/>
        </w:rPr>
        <w:t>预算支出</w:t>
      </w:r>
      <w:r>
        <w:rPr>
          <w:rFonts w:hint="eastAsia" w:eastAsia="楷体_GB2312"/>
          <w:b/>
          <w:color w:val="auto"/>
          <w:sz w:val="32"/>
          <w:szCs w:val="32"/>
          <w:highlight w:val="none"/>
        </w:rPr>
        <w:t>绩效目标完成</w:t>
      </w:r>
      <w:bookmarkEnd w:id="46"/>
      <w:bookmarkEnd w:id="47"/>
      <w:r>
        <w:rPr>
          <w:rFonts w:hint="eastAsia" w:eastAsia="楷体_GB2312"/>
          <w:b/>
          <w:color w:val="auto"/>
          <w:sz w:val="32"/>
          <w:szCs w:val="32"/>
          <w:highlight w:val="none"/>
          <w:lang w:eastAsia="zh-CN"/>
        </w:rPr>
        <w:t>程度</w:t>
      </w:r>
      <w:bookmarkEnd w:id="48"/>
    </w:p>
    <w:p w14:paraId="17247F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color w:val="auto"/>
          <w:sz w:val="32"/>
          <w:szCs w:val="32"/>
          <w:highlight w:val="none"/>
        </w:rPr>
      </w:pPr>
      <w:bookmarkStart w:id="49" w:name="_Toc1144"/>
      <w:r>
        <w:rPr>
          <w:rFonts w:hint="eastAsia" w:eastAsia="仿宋_GB2312"/>
          <w:color w:val="auto"/>
          <w:sz w:val="32"/>
          <w:szCs w:val="32"/>
          <w:highlight w:val="none"/>
        </w:rPr>
        <w:t>1、总体目标</w:t>
      </w:r>
      <w:bookmarkEnd w:id="49"/>
    </w:p>
    <w:p w14:paraId="19044F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贯彻落实高质量发展要求，重点安排落实省委、省政府决策部署的重大战略、重大政策、重大规划、重大项目等，推进相关领域基础设施建设水平不断提升；保障省委、省政府确定的重大项目前期推进，相关重大项目委托评估评审、重大规划编制、重大课题研究、重大立法宣传等相关经费需要，同时对省政府“真抓实干”督查及相关工作考核先进市州、县市区和园区，以及重大项目推进有力的相关市州等给予适当奖补。</w:t>
      </w:r>
    </w:p>
    <w:p w14:paraId="7E56CC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color w:val="auto"/>
          <w:sz w:val="32"/>
          <w:szCs w:val="32"/>
          <w:highlight w:val="none"/>
        </w:rPr>
      </w:pPr>
      <w:bookmarkStart w:id="50" w:name="_Toc4090"/>
      <w:r>
        <w:rPr>
          <w:rFonts w:hint="eastAsia" w:eastAsia="仿宋_GB2312"/>
          <w:color w:val="auto"/>
          <w:sz w:val="32"/>
          <w:szCs w:val="32"/>
          <w:highlight w:val="none"/>
        </w:rPr>
        <w:t>2、阶段性目标</w:t>
      </w:r>
      <w:bookmarkEnd w:id="50"/>
    </w:p>
    <w:p w14:paraId="2E9598EC">
      <w:pPr>
        <w:keepNext w:val="0"/>
        <w:keepLines w:val="0"/>
        <w:pageBreakBefore w:val="0"/>
        <w:widowControl w:val="0"/>
        <w:tabs>
          <w:tab w:val="left" w:pos="1560"/>
        </w:tabs>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bookmarkStart w:id="51" w:name="_Toc22299"/>
      <w:bookmarkStart w:id="52" w:name="_Toc27969"/>
      <w:bookmarkStart w:id="53" w:name="_Toc6398"/>
      <w:bookmarkStart w:id="54" w:name="_Toc30873"/>
      <w:bookmarkStart w:id="55" w:name="_Toc10078"/>
      <w:bookmarkStart w:id="56" w:name="_Toc11480"/>
      <w:bookmarkStart w:id="57" w:name="_Toc7712"/>
      <w:r>
        <w:rPr>
          <w:rFonts w:hint="eastAsia" w:ascii="Times New Roman" w:hAnsi="Times New Roman" w:eastAsia="仿宋_GB2312" w:cs="Times New Roman"/>
          <w:color w:val="auto"/>
          <w:sz w:val="32"/>
          <w:szCs w:val="32"/>
          <w:highlight w:val="none"/>
          <w:lang w:val="en-US" w:eastAsia="zh-CN"/>
        </w:rPr>
        <w:t>围绕省预算内基本建设项目实施期总体目标，2024年度省预算内基本建设专项资金目标为：落实省委、省政府决策部署的重大战略、重大政策、重大规划、重大项目等，设立高校师生创业创新公共平台和早期项目等建设、县域经济发展、“五好园区”推进、省属本科院校项目支持、省级储备粮仓储建设等专项，推进相关领域基础设施建设水平不断提升；保障省委、省政府确定的重大项目前期推进，相关重大项目委托评估评审、重大规划编制、重大课题研究、重大立法宣传等相关经费需要，同时对省政府“真抓实干”督查及相关工作考核先进市州、县市区和园区，以及重大项目推进有力的相关市州等给予适当奖补。其中支持财政统筹项目6个，支持落实重大战略和重大事项其他建设项目28个，支持落实有关文件规定奖励资金项目70个，支持前期费用支出项目完成成果数量16个，支持省属公办本科高校学生宿舍建设项目7个，支持“五好园区”建设项目20个，支持旅游发展大会支持项目3个，支持高校师生创业就业创新及北斗规模应用项目20个，支持以县城为重要载体的城镇化试点项目10个，支持废旧物资回收循环利用专项项目35个，支持重大投资项目前期工作经费项目133个等。</w:t>
      </w:r>
      <w:bookmarkEnd w:id="51"/>
      <w:bookmarkEnd w:id="52"/>
      <w:bookmarkEnd w:id="53"/>
      <w:bookmarkEnd w:id="54"/>
      <w:bookmarkEnd w:id="55"/>
      <w:bookmarkEnd w:id="56"/>
    </w:p>
    <w:bookmarkEnd w:id="57"/>
    <w:p w14:paraId="3A263F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olor w:val="auto"/>
          <w:sz w:val="32"/>
          <w:szCs w:val="32"/>
          <w:highlight w:val="none"/>
        </w:rPr>
      </w:pPr>
      <w:bookmarkStart w:id="58" w:name="_Toc15174"/>
      <w:r>
        <w:rPr>
          <w:rFonts w:hint="eastAsia" w:eastAsia="仿宋_GB2312"/>
          <w:color w:val="auto"/>
          <w:sz w:val="32"/>
          <w:szCs w:val="32"/>
          <w:highlight w:val="none"/>
        </w:rPr>
        <w:t>3、目标完成情况及实施效果情况分析</w:t>
      </w:r>
      <w:bookmarkEnd w:id="58"/>
    </w:p>
    <w:p w14:paraId="52B0FBDE">
      <w:pPr>
        <w:keepNext w:val="0"/>
        <w:keepLines w:val="0"/>
        <w:pageBreakBefore w:val="0"/>
        <w:widowControl w:val="0"/>
        <w:tabs>
          <w:tab w:val="left" w:pos="1560"/>
        </w:tabs>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bookmarkStart w:id="59" w:name="_Toc1233"/>
      <w:bookmarkStart w:id="60" w:name="_Toc20446"/>
      <w:bookmarkStart w:id="61" w:name="_Toc8513"/>
      <w:bookmarkStart w:id="62" w:name="_Toc19803"/>
      <w:r>
        <w:rPr>
          <w:rFonts w:hint="eastAsia" w:eastAsia="仿宋_GB2312"/>
          <w:color w:val="auto"/>
          <w:sz w:val="32"/>
          <w:szCs w:val="32"/>
          <w:highlight w:val="none"/>
          <w:lang w:eastAsia="zh-CN"/>
        </w:rPr>
        <w:t>截至2024年12月31日</w:t>
      </w:r>
      <w:r>
        <w:rPr>
          <w:rFonts w:hint="eastAsia" w:eastAsia="仿宋_GB2312"/>
          <w:color w:val="auto"/>
          <w:sz w:val="32"/>
          <w:szCs w:val="32"/>
          <w:highlight w:val="none"/>
        </w:rPr>
        <w:t>，我委</w:t>
      </w:r>
      <w:r>
        <w:rPr>
          <w:rFonts w:hint="eastAsia" w:eastAsia="仿宋_GB2312"/>
          <w:color w:val="auto"/>
          <w:sz w:val="32"/>
          <w:szCs w:val="32"/>
          <w:highlight w:val="none"/>
          <w:lang w:eastAsia="zh-CN"/>
        </w:rPr>
        <w:t>2024年度省预算内基本建设专项资金</w:t>
      </w:r>
      <w:r>
        <w:rPr>
          <w:rFonts w:hint="eastAsia" w:eastAsia="仿宋_GB2312"/>
          <w:color w:val="auto"/>
          <w:sz w:val="32"/>
          <w:szCs w:val="32"/>
          <w:highlight w:val="none"/>
        </w:rPr>
        <w:t>绩效目标基本完成，</w:t>
      </w:r>
      <w:r>
        <w:rPr>
          <w:rFonts w:hint="eastAsia" w:eastAsia="仿宋_GB2312"/>
          <w:color w:val="auto"/>
          <w:sz w:val="32"/>
          <w:szCs w:val="32"/>
          <w:highlight w:val="none"/>
          <w:lang w:val="en-US" w:eastAsia="zh-CN"/>
        </w:rPr>
        <w:t>省预算内基建投资计划执行情况良好，建设任务均在有序推进。其中</w:t>
      </w:r>
      <w:r>
        <w:rPr>
          <w:rFonts w:hint="eastAsia" w:eastAsia="仿宋_GB2312"/>
          <w:color w:val="auto"/>
          <w:sz w:val="32"/>
          <w:szCs w:val="32"/>
          <w:highlight w:val="none"/>
        </w:rPr>
        <w:t>重点</w:t>
      </w:r>
      <w:r>
        <w:rPr>
          <w:rFonts w:hint="eastAsia" w:ascii="Times New Roman" w:hAnsi="Times New Roman" w:eastAsia="仿宋_GB2312" w:cs="Times New Roman"/>
          <w:color w:val="auto"/>
          <w:sz w:val="32"/>
          <w:szCs w:val="32"/>
          <w:highlight w:val="none"/>
          <w:lang w:val="en-US" w:eastAsia="zh-CN"/>
        </w:rPr>
        <w:t>支持财政统筹项目9个，支持落实重大战略和重大事项其他建设项目28个，支持落实有关文件规定奖励资金项目70个，支持前期费用支出项目完成成果数量41个，支持省属公办本科高校学生宿舍建设项目7个，支持“五好园区”建设项目26个，支持旅游发展大会支持项目3个，支持高校师生创业就业创新及北斗规模应用项目20个，支持以县城为重要载体的城镇化试点项目14个，支持废旧物资回收循环利用专项项目35个，支持重大投资项目前期工作经费项目133个等</w:t>
      </w:r>
      <w:bookmarkEnd w:id="59"/>
      <w:bookmarkEnd w:id="60"/>
      <w:bookmarkEnd w:id="61"/>
      <w:bookmarkEnd w:id="62"/>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为扩大有效投资、保持经济平稳运行作出了积极贡献。</w:t>
      </w:r>
    </w:p>
    <w:p w14:paraId="1A63DA11">
      <w:pPr>
        <w:spacing w:line="600" w:lineRule="exact"/>
        <w:ind w:firstLine="643" w:firstLineChars="200"/>
        <w:outlineLvl w:val="0"/>
        <w:rPr>
          <w:rFonts w:eastAsia="黑体"/>
          <w:b/>
          <w:bCs/>
          <w:color w:val="auto"/>
          <w:sz w:val="32"/>
          <w:szCs w:val="32"/>
          <w:highlight w:val="none"/>
        </w:rPr>
      </w:pPr>
      <w:bookmarkStart w:id="63" w:name="_Toc19841_WPSOffice_Level1"/>
      <w:bookmarkStart w:id="64" w:name="_Toc30329"/>
      <w:bookmarkStart w:id="65" w:name="_Toc26846"/>
      <w:r>
        <w:rPr>
          <w:rFonts w:hint="eastAsia" w:eastAsia="黑体"/>
          <w:b/>
          <w:bCs/>
          <w:color w:val="auto"/>
          <w:sz w:val="32"/>
          <w:szCs w:val="32"/>
          <w:highlight w:val="none"/>
        </w:rPr>
        <w:t>二、</w:t>
      </w:r>
      <w:r>
        <w:rPr>
          <w:rFonts w:eastAsia="黑体"/>
          <w:b/>
          <w:bCs/>
          <w:color w:val="auto"/>
          <w:sz w:val="32"/>
          <w:szCs w:val="32"/>
          <w:highlight w:val="none"/>
        </w:rPr>
        <w:t>绩效评价</w:t>
      </w:r>
      <w:r>
        <w:rPr>
          <w:rFonts w:hint="eastAsia" w:eastAsia="黑体"/>
          <w:b/>
          <w:bCs/>
          <w:color w:val="auto"/>
          <w:sz w:val="32"/>
          <w:szCs w:val="32"/>
          <w:highlight w:val="none"/>
        </w:rPr>
        <w:t>工作</w:t>
      </w:r>
      <w:r>
        <w:rPr>
          <w:rFonts w:eastAsia="黑体"/>
          <w:b/>
          <w:bCs/>
          <w:color w:val="auto"/>
          <w:sz w:val="32"/>
          <w:szCs w:val="32"/>
          <w:highlight w:val="none"/>
        </w:rPr>
        <w:t>情况</w:t>
      </w:r>
      <w:bookmarkEnd w:id="63"/>
      <w:bookmarkEnd w:id="64"/>
      <w:bookmarkEnd w:id="65"/>
    </w:p>
    <w:p w14:paraId="54FDC1E5">
      <w:pPr>
        <w:spacing w:afterLines="0" w:line="600" w:lineRule="exact"/>
        <w:ind w:firstLine="640" w:firstLineChars="200"/>
        <w:rPr>
          <w:color w:val="auto"/>
          <w:highlight w:val="none"/>
        </w:rPr>
      </w:pPr>
      <w:r>
        <w:rPr>
          <w:rFonts w:hint="eastAsia" w:eastAsia="仿宋_GB2312"/>
          <w:color w:val="auto"/>
          <w:sz w:val="32"/>
          <w:szCs w:val="32"/>
          <w:highlight w:val="none"/>
        </w:rPr>
        <w:t>根据《湖南省财政厅关于开展2024年度省级预算部门绩效自评和部门评价的通知》（湘财绩〔2025〕2号）和《湖南省省级预算部门绩效自评操作规程》（湘财绩〔2020〕5号）、《湖南省预算支出绩效评价管理办法》（湘财绩〔2020〕7号）</w:t>
      </w:r>
      <w:r>
        <w:rPr>
          <w:rFonts w:hint="eastAsia" w:eastAsia="仿宋_GB2312"/>
          <w:color w:val="auto"/>
          <w:sz w:val="32"/>
          <w:szCs w:val="32"/>
          <w:highlight w:val="none"/>
          <w:lang w:val="en-US" w:eastAsia="zh-CN"/>
        </w:rPr>
        <w:t>相关</w:t>
      </w:r>
      <w:r>
        <w:rPr>
          <w:rFonts w:hint="eastAsia" w:eastAsia="仿宋_GB2312"/>
          <w:color w:val="auto"/>
          <w:sz w:val="32"/>
          <w:szCs w:val="32"/>
          <w:highlight w:val="none"/>
        </w:rPr>
        <w:t>规定落实评价工作。一是前期准备阶段。</w:t>
      </w:r>
      <w:r>
        <w:rPr>
          <w:rFonts w:hint="default" w:eastAsia="仿宋_GB2312"/>
          <w:color w:val="auto"/>
          <w:sz w:val="32"/>
          <w:szCs w:val="32"/>
          <w:highlight w:val="none"/>
          <w:lang w:val="en-US" w:eastAsia="zh-CN"/>
        </w:rPr>
        <w:t>成立由委分管负责人任组长，投资处及相关业务处室为成员的绩效评价工作组，</w:t>
      </w:r>
      <w:r>
        <w:rPr>
          <w:rFonts w:hint="eastAsia" w:eastAsia="仿宋_GB2312"/>
          <w:color w:val="auto"/>
          <w:sz w:val="32"/>
          <w:szCs w:val="32"/>
          <w:highlight w:val="none"/>
          <w:lang w:val="en-US" w:eastAsia="zh-CN"/>
        </w:rPr>
        <w:t>2025年3月28日，</w:t>
      </w:r>
      <w:r>
        <w:rPr>
          <w:rFonts w:hint="eastAsia" w:eastAsia="仿宋_GB2312" w:cs="Times New Roman"/>
          <w:color w:val="auto"/>
          <w:sz w:val="32"/>
          <w:szCs w:val="32"/>
          <w:highlight w:val="none"/>
          <w:lang w:val="en-US" w:eastAsia="zh-CN"/>
        </w:rPr>
        <w:t>我委印发</w:t>
      </w:r>
      <w:r>
        <w:rPr>
          <w:rFonts w:hint="eastAsia" w:eastAsia="仿宋_GB2312"/>
          <w:color w:val="auto"/>
          <w:sz w:val="32"/>
          <w:szCs w:val="32"/>
          <w:highlight w:val="none"/>
        </w:rPr>
        <w:t>《关于开展2024年度省预算内基本建设投资绩效评价工作的通知》</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明确现场评价对象，提出评价具体要求和时间节点，确保绩效自评工作有序推进。并通</w:t>
      </w:r>
      <w:r>
        <w:rPr>
          <w:rFonts w:hint="eastAsia" w:eastAsia="仿宋_GB2312"/>
          <w:color w:val="auto"/>
          <w:sz w:val="32"/>
          <w:szCs w:val="32"/>
          <w:highlight w:val="none"/>
        </w:rPr>
        <w:t>过收集</w:t>
      </w:r>
      <w:r>
        <w:rPr>
          <w:rFonts w:hint="eastAsia" w:eastAsia="仿宋_GB2312"/>
          <w:color w:val="auto"/>
          <w:sz w:val="32"/>
          <w:szCs w:val="32"/>
          <w:highlight w:val="none"/>
          <w:lang w:val="en-US" w:eastAsia="zh-CN"/>
        </w:rPr>
        <w:t>相关</w:t>
      </w:r>
      <w:r>
        <w:rPr>
          <w:rFonts w:hint="eastAsia" w:eastAsia="仿宋_GB2312"/>
          <w:color w:val="auto"/>
          <w:sz w:val="32"/>
          <w:szCs w:val="32"/>
          <w:highlight w:val="none"/>
        </w:rPr>
        <w:t>资料，了解项目基本情况，梳理评价思路，设计评价指标体系和调查问卷，</w:t>
      </w:r>
      <w:r>
        <w:rPr>
          <w:rFonts w:hint="eastAsia" w:eastAsia="仿宋_GB2312"/>
          <w:color w:val="auto"/>
          <w:sz w:val="32"/>
          <w:szCs w:val="32"/>
          <w:highlight w:val="none"/>
          <w:lang w:val="en-US" w:eastAsia="zh-CN"/>
        </w:rPr>
        <w:t>编制</w:t>
      </w:r>
      <w:r>
        <w:rPr>
          <w:rFonts w:hint="eastAsia" w:eastAsia="仿宋_GB2312"/>
          <w:color w:val="auto"/>
          <w:sz w:val="32"/>
          <w:szCs w:val="32"/>
          <w:highlight w:val="none"/>
        </w:rPr>
        <w:t>《绩效评价工作方案》。二是现场评价阶段。</w:t>
      </w:r>
      <w:r>
        <w:rPr>
          <w:rFonts w:hint="eastAsia" w:eastAsia="仿宋_GB2312"/>
          <w:color w:val="auto"/>
          <w:sz w:val="32"/>
          <w:szCs w:val="32"/>
          <w:highlight w:val="none"/>
          <w:lang w:val="en-US" w:eastAsia="zh-CN"/>
        </w:rPr>
        <w:t>工作组</w:t>
      </w:r>
      <w:r>
        <w:rPr>
          <w:rFonts w:hint="eastAsia" w:eastAsia="仿宋_GB2312"/>
          <w:color w:val="auto"/>
          <w:sz w:val="32"/>
          <w:szCs w:val="32"/>
          <w:highlight w:val="none"/>
        </w:rPr>
        <w:t>对</w:t>
      </w:r>
      <w:r>
        <w:rPr>
          <w:rFonts w:hint="default" w:eastAsia="仿宋_GB2312"/>
          <w:color w:val="auto"/>
          <w:sz w:val="32"/>
          <w:szCs w:val="32"/>
          <w:highlight w:val="none"/>
          <w:lang w:val="en-US" w:eastAsia="zh-CN"/>
        </w:rPr>
        <w:t>省直单位</w:t>
      </w:r>
      <w:r>
        <w:rPr>
          <w:rFonts w:hint="eastAsia" w:eastAsia="仿宋_GB2312"/>
          <w:color w:val="auto"/>
          <w:sz w:val="32"/>
          <w:szCs w:val="32"/>
          <w:highlight w:val="none"/>
        </w:rPr>
        <w:t>、长沙市、</w:t>
      </w:r>
      <w:r>
        <w:rPr>
          <w:rFonts w:hint="eastAsia" w:eastAsia="仿宋_GB2312"/>
          <w:color w:val="auto"/>
          <w:sz w:val="32"/>
          <w:szCs w:val="32"/>
          <w:highlight w:val="none"/>
          <w:lang w:val="en-US" w:eastAsia="zh-CN"/>
        </w:rPr>
        <w:t>株洲</w:t>
      </w:r>
      <w:r>
        <w:rPr>
          <w:rFonts w:hint="default" w:eastAsia="仿宋_GB2312"/>
          <w:color w:val="auto"/>
          <w:sz w:val="32"/>
          <w:szCs w:val="32"/>
          <w:highlight w:val="none"/>
          <w:lang w:val="en-US" w:eastAsia="zh-CN"/>
        </w:rPr>
        <w:t>市</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湘潭</w:t>
      </w:r>
      <w:r>
        <w:rPr>
          <w:rFonts w:hint="eastAsia" w:eastAsia="仿宋_GB2312"/>
          <w:color w:val="auto"/>
          <w:sz w:val="32"/>
          <w:szCs w:val="32"/>
          <w:highlight w:val="none"/>
        </w:rPr>
        <w:t>市、</w:t>
      </w:r>
      <w:r>
        <w:rPr>
          <w:rFonts w:hint="eastAsia" w:eastAsia="仿宋_GB2312"/>
          <w:color w:val="auto"/>
          <w:sz w:val="32"/>
          <w:szCs w:val="32"/>
          <w:highlight w:val="none"/>
          <w:lang w:val="en-US" w:eastAsia="zh-CN"/>
        </w:rPr>
        <w:t>怀化</w:t>
      </w:r>
      <w:r>
        <w:rPr>
          <w:rFonts w:hint="eastAsia" w:eastAsia="仿宋_GB2312"/>
          <w:color w:val="auto"/>
          <w:sz w:val="32"/>
          <w:szCs w:val="32"/>
          <w:highlight w:val="none"/>
        </w:rPr>
        <w:t>市的</w:t>
      </w:r>
      <w:r>
        <w:rPr>
          <w:rFonts w:hint="default" w:eastAsia="仿宋_GB2312"/>
          <w:color w:val="auto"/>
          <w:sz w:val="32"/>
          <w:szCs w:val="32"/>
          <w:highlight w:val="none"/>
          <w:lang w:eastAsia="zh-CN"/>
        </w:rPr>
        <w:t>202</w:t>
      </w:r>
      <w:r>
        <w:rPr>
          <w:rFonts w:hint="eastAsia" w:eastAsia="仿宋_GB2312"/>
          <w:color w:val="auto"/>
          <w:sz w:val="32"/>
          <w:szCs w:val="32"/>
          <w:highlight w:val="none"/>
          <w:lang w:val="en-US" w:eastAsia="zh-CN"/>
        </w:rPr>
        <w:t>4</w:t>
      </w:r>
      <w:r>
        <w:rPr>
          <w:rFonts w:hint="default" w:eastAsia="仿宋_GB2312"/>
          <w:color w:val="auto"/>
          <w:sz w:val="32"/>
          <w:szCs w:val="32"/>
          <w:highlight w:val="none"/>
          <w:lang w:eastAsia="zh-CN"/>
        </w:rPr>
        <w:t>年度省预算内基本建设</w:t>
      </w:r>
      <w:r>
        <w:rPr>
          <w:rFonts w:hint="eastAsia" w:eastAsia="仿宋_GB2312"/>
          <w:color w:val="auto"/>
          <w:sz w:val="32"/>
          <w:szCs w:val="32"/>
          <w:highlight w:val="none"/>
        </w:rPr>
        <w:t>项目建设情况进行现场评价，主要通过听取情况介绍、实地核查、发放调查问卷、座谈询问、对照查证复核等方式，对基础材料及有关情况进行核实，评价内容主要包括专项资金和项目绩效目标的设定及完成情况，专项资金的使用管理、绩效、政策环境适应情况等方面。本次现场抽查评价项目共计</w:t>
      </w:r>
      <w:r>
        <w:rPr>
          <w:rFonts w:hint="eastAsia" w:eastAsia="仿宋_GB2312"/>
          <w:color w:val="auto"/>
          <w:sz w:val="32"/>
          <w:szCs w:val="32"/>
          <w:highlight w:val="none"/>
          <w:lang w:val="en-US" w:eastAsia="zh-CN"/>
        </w:rPr>
        <w:t>110</w:t>
      </w:r>
      <w:r>
        <w:rPr>
          <w:rFonts w:hint="eastAsia" w:eastAsia="仿宋_GB2312"/>
          <w:color w:val="auto"/>
          <w:sz w:val="32"/>
          <w:szCs w:val="32"/>
          <w:highlight w:val="none"/>
        </w:rPr>
        <w:t>个，占项目总个数的3</w:t>
      </w:r>
      <w:r>
        <w:rPr>
          <w:rFonts w:hint="default" w:eastAsia="仿宋_GB2312"/>
          <w:color w:val="auto"/>
          <w:sz w:val="32"/>
          <w:szCs w:val="32"/>
          <w:highlight w:val="none"/>
          <w:lang w:val="en-US" w:eastAsia="zh-CN"/>
        </w:rPr>
        <w:t>0.</w:t>
      </w:r>
      <w:r>
        <w:rPr>
          <w:rFonts w:hint="eastAsia" w:eastAsia="仿宋_GB2312"/>
          <w:color w:val="auto"/>
          <w:sz w:val="32"/>
          <w:szCs w:val="32"/>
          <w:highlight w:val="none"/>
          <w:lang w:val="en-US" w:eastAsia="zh-CN"/>
        </w:rPr>
        <w:t>30</w:t>
      </w:r>
      <w:r>
        <w:rPr>
          <w:rFonts w:hint="eastAsia" w:eastAsia="仿宋_GB2312"/>
          <w:color w:val="auto"/>
          <w:sz w:val="32"/>
          <w:szCs w:val="32"/>
          <w:highlight w:val="none"/>
        </w:rPr>
        <w:t>%；抽查专项资金共计109,222.00万元，占项目总金额的</w:t>
      </w:r>
      <w:r>
        <w:rPr>
          <w:rFonts w:hint="eastAsia" w:eastAsia="仿宋_GB2312"/>
          <w:color w:val="auto"/>
          <w:sz w:val="32"/>
          <w:szCs w:val="32"/>
          <w:highlight w:val="none"/>
          <w:lang w:val="en-US" w:eastAsia="zh-CN"/>
        </w:rPr>
        <w:t>48.45</w:t>
      </w:r>
      <w:r>
        <w:rPr>
          <w:rFonts w:hint="eastAsia" w:eastAsia="仿宋_GB2312"/>
          <w:color w:val="auto"/>
          <w:sz w:val="32"/>
          <w:szCs w:val="32"/>
          <w:highlight w:val="none"/>
        </w:rPr>
        <w:t>%。三是报告撰写阶段。结合</w:t>
      </w:r>
      <w:r>
        <w:rPr>
          <w:rFonts w:hint="eastAsia" w:eastAsia="仿宋_GB2312"/>
          <w:color w:val="auto"/>
          <w:sz w:val="32"/>
          <w:szCs w:val="32"/>
          <w:highlight w:val="none"/>
          <w:lang w:val="en-US" w:eastAsia="zh-CN"/>
        </w:rPr>
        <w:t>自评和</w:t>
      </w:r>
      <w:r>
        <w:rPr>
          <w:rFonts w:hint="eastAsia" w:eastAsia="仿宋_GB2312"/>
          <w:color w:val="auto"/>
          <w:sz w:val="32"/>
          <w:szCs w:val="32"/>
          <w:highlight w:val="none"/>
        </w:rPr>
        <w:t>现场评价情况，</w:t>
      </w:r>
      <w:r>
        <w:rPr>
          <w:rFonts w:hint="eastAsia" w:eastAsia="仿宋_GB2312"/>
          <w:color w:val="auto"/>
          <w:sz w:val="32"/>
          <w:szCs w:val="32"/>
          <w:highlight w:val="none"/>
          <w:lang w:val="en-US" w:eastAsia="zh-CN"/>
        </w:rPr>
        <w:t>工作组统筹整理数据及问题资料，对发现的问题及时反馈落实，并就相关确定内容</w:t>
      </w:r>
      <w:r>
        <w:rPr>
          <w:rFonts w:hint="eastAsia" w:eastAsia="仿宋_GB2312"/>
          <w:color w:val="auto"/>
          <w:sz w:val="32"/>
          <w:szCs w:val="32"/>
          <w:highlight w:val="none"/>
        </w:rPr>
        <w:t>按评分标准对指标进行逐一</w:t>
      </w:r>
      <w:r>
        <w:rPr>
          <w:rFonts w:hint="eastAsia" w:eastAsia="仿宋_GB2312"/>
          <w:color w:val="auto"/>
          <w:sz w:val="32"/>
          <w:szCs w:val="32"/>
          <w:highlight w:val="none"/>
          <w:lang w:eastAsia="zh-CN"/>
        </w:rPr>
        <w:t>自评打</w:t>
      </w:r>
      <w:r>
        <w:rPr>
          <w:rFonts w:hint="eastAsia" w:eastAsia="仿宋_GB2312"/>
          <w:color w:val="auto"/>
          <w:sz w:val="32"/>
          <w:szCs w:val="32"/>
          <w:highlight w:val="none"/>
        </w:rPr>
        <w:t>分，综合分析后形成</w:t>
      </w:r>
      <w:r>
        <w:rPr>
          <w:rFonts w:hint="eastAsia" w:eastAsia="仿宋_GB2312"/>
          <w:color w:val="auto"/>
          <w:sz w:val="32"/>
          <w:szCs w:val="32"/>
          <w:highlight w:val="none"/>
          <w:lang w:eastAsia="zh-CN"/>
        </w:rPr>
        <w:t>自评</w:t>
      </w:r>
      <w:r>
        <w:rPr>
          <w:rFonts w:hint="eastAsia" w:eastAsia="仿宋_GB2312"/>
          <w:color w:val="auto"/>
          <w:sz w:val="32"/>
          <w:szCs w:val="32"/>
          <w:highlight w:val="none"/>
        </w:rPr>
        <w:t>报告。</w:t>
      </w:r>
    </w:p>
    <w:p w14:paraId="585E1BE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0"/>
        <w:rPr>
          <w:rFonts w:eastAsia="黑体"/>
          <w:b/>
          <w:bCs/>
          <w:color w:val="auto"/>
          <w:sz w:val="32"/>
          <w:szCs w:val="32"/>
          <w:highlight w:val="none"/>
        </w:rPr>
      </w:pPr>
      <w:bookmarkStart w:id="66" w:name="_Toc13427_WPSOffice_Level1"/>
      <w:bookmarkStart w:id="67" w:name="_Toc18130"/>
      <w:bookmarkStart w:id="68" w:name="_Toc32512"/>
      <w:r>
        <w:rPr>
          <w:rFonts w:hint="eastAsia" w:eastAsia="黑体"/>
          <w:b/>
          <w:bCs/>
          <w:color w:val="auto"/>
          <w:sz w:val="32"/>
          <w:szCs w:val="32"/>
          <w:highlight w:val="none"/>
        </w:rPr>
        <w:t>三、</w:t>
      </w:r>
      <w:r>
        <w:rPr>
          <w:rFonts w:hint="eastAsia" w:eastAsia="黑体"/>
          <w:b/>
          <w:bCs/>
          <w:color w:val="auto"/>
          <w:sz w:val="32"/>
          <w:szCs w:val="32"/>
          <w:highlight w:val="none"/>
          <w:lang w:eastAsia="zh-CN"/>
        </w:rPr>
        <w:t>预算支出</w:t>
      </w:r>
      <w:r>
        <w:rPr>
          <w:rFonts w:eastAsia="黑体"/>
          <w:b/>
          <w:bCs/>
          <w:color w:val="auto"/>
          <w:sz w:val="32"/>
          <w:szCs w:val="32"/>
          <w:highlight w:val="none"/>
        </w:rPr>
        <w:t>主要绩效及</w:t>
      </w:r>
      <w:r>
        <w:rPr>
          <w:rFonts w:hint="eastAsia" w:eastAsia="黑体"/>
          <w:b/>
          <w:bCs/>
          <w:color w:val="auto"/>
          <w:sz w:val="32"/>
          <w:szCs w:val="32"/>
          <w:highlight w:val="none"/>
        </w:rPr>
        <w:t>评价结论</w:t>
      </w:r>
      <w:bookmarkEnd w:id="66"/>
      <w:bookmarkEnd w:id="67"/>
      <w:bookmarkEnd w:id="68"/>
    </w:p>
    <w:p w14:paraId="5454C7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楷体_GB2312"/>
          <w:b/>
          <w:color w:val="auto"/>
          <w:sz w:val="32"/>
          <w:szCs w:val="32"/>
          <w:highlight w:val="none"/>
        </w:rPr>
      </w:pPr>
      <w:bookmarkStart w:id="69" w:name="_Toc22830"/>
      <w:bookmarkStart w:id="70" w:name="_Toc18182"/>
      <w:bookmarkStart w:id="71" w:name="_Toc13427_WPSOffice_Level2"/>
      <w:r>
        <w:rPr>
          <w:rFonts w:hint="eastAsia" w:eastAsia="楷体_GB2312"/>
          <w:b/>
          <w:color w:val="auto"/>
          <w:sz w:val="32"/>
          <w:szCs w:val="32"/>
          <w:highlight w:val="none"/>
        </w:rPr>
        <w:t>（一）主要绩效情况</w:t>
      </w:r>
      <w:bookmarkEnd w:id="69"/>
      <w:bookmarkEnd w:id="70"/>
      <w:bookmarkEnd w:id="71"/>
    </w:p>
    <w:p w14:paraId="59E68229">
      <w:pPr>
        <w:spacing w:line="600" w:lineRule="exact"/>
        <w:ind w:firstLine="640" w:firstLineChars="200"/>
        <w:rPr>
          <w:rFonts w:hint="default" w:eastAsia="仿宋_GB2312"/>
          <w:color w:val="auto"/>
          <w:sz w:val="32"/>
          <w:szCs w:val="32"/>
          <w:highlight w:val="none"/>
          <w:lang w:val="en-US" w:eastAsia="zh-CN"/>
        </w:rPr>
      </w:pPr>
      <w:bookmarkStart w:id="72" w:name="_Toc15394"/>
      <w:r>
        <w:rPr>
          <w:rFonts w:hint="eastAsia" w:eastAsia="仿宋_GB2312"/>
          <w:color w:val="auto"/>
          <w:sz w:val="32"/>
          <w:szCs w:val="32"/>
          <w:highlight w:val="none"/>
          <w:lang w:val="en-US" w:eastAsia="zh-CN"/>
        </w:rPr>
        <w:t>1、积极争取国家资金支持</w:t>
      </w:r>
    </w:p>
    <w:p w14:paraId="1C51FCC6">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抢抓“两重”“两新”政策机遇，争取中央预算内资金206.5亿元、专项债券1424亿元（用于项目961亿元）、增发国债449.42亿元、超长期特别国债326.6亿元，占全国盘子的4.5%以上。</w:t>
      </w:r>
    </w:p>
    <w:p w14:paraId="379A94DE">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扎实推进重大项目建设</w:t>
      </w:r>
    </w:p>
    <w:p w14:paraId="2C2A01E9">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深入开展“四比四提高”，持续推进双周调度、双周交办、双周对账，四类中央投资项目进展全面超过全国平均水平。1-11月，395个省重点建设项目、十大基础设施项目、十大产业项目分别完成年度投资计划的102.9%、85%和102.4％，铜吉铁路正式开工，长赣铁路环评获批，宜常铁路完成可研审批，广清永铁路完成预可研评审，乙烯炼化一体化项目实质性开工，广汽埃安项目顺利投产，吉利新能源乘用车项目基本建成。开展“项目大谋划、谋划大项目”行动，储备项目总量达到1.45万个，其中储备大项目271个、总投资3.88万亿元。提前下发2025年省重点项目清单。</w:t>
      </w:r>
    </w:p>
    <w:p w14:paraId="549A43BE">
      <w:pPr>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3、落实决策部署，扩大有效投资</w:t>
      </w:r>
    </w:p>
    <w:p w14:paraId="3334E0A7">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贯彻</w:t>
      </w:r>
      <w:r>
        <w:rPr>
          <w:rFonts w:hint="eastAsia" w:ascii="Times New Roman" w:hAnsi="Times New Roman" w:eastAsia="仿宋_GB2312" w:cs="Times New Roman"/>
          <w:color w:val="auto"/>
          <w:sz w:val="32"/>
          <w:szCs w:val="32"/>
          <w:highlight w:val="none"/>
          <w:lang w:val="en-US" w:eastAsia="zh-CN"/>
        </w:rPr>
        <w:t>落实省委、省政府决策部署的重大战略、重大政策、重大规划、重大项目等，推进相关领域基础设施建设水平不断提升；保障省委、省政府确定的重大项目前期推进，相关重大项目委托评估评审、重大规划编制、重大课题研究、重大立法宣传等相关经费需要，同时对省政府“真抓实干”督查及相关工作考核先进市州、县市区和园区，以及重大项目推进有力的相关市州等给予适当奖补，扩大有效投资。</w:t>
      </w:r>
    </w:p>
    <w:p w14:paraId="70341EC6">
      <w:pPr>
        <w:numPr>
          <w:ilvl w:val="0"/>
          <w:numId w:val="0"/>
        </w:num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4、稳步</w:t>
      </w:r>
      <w:r>
        <w:rPr>
          <w:rFonts w:hint="default" w:ascii="Times New Roman" w:hAnsi="Times New Roman" w:eastAsia="仿宋_GB2312" w:cs="Times New Roman"/>
          <w:color w:val="auto"/>
          <w:sz w:val="32"/>
          <w:szCs w:val="32"/>
          <w:highlight w:val="none"/>
          <w:lang w:val="en-US" w:eastAsia="zh-CN"/>
        </w:rPr>
        <w:t>推进“五好”园区建设</w:t>
      </w:r>
    </w:p>
    <w:p w14:paraId="70E2ECD8">
      <w:pPr>
        <w:numPr>
          <w:ilvl w:val="0"/>
          <w:numId w:val="0"/>
        </w:num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出台《关于深化管理制度改革</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推动产业园区高质量发展的实施意见》等文件，打好园区改革攻坚战，完成166家园区调区、扩区、整合撤并，6家园区跻身全国园区产业高质量发展百强，亩均税收增长15%以上。上线园区数字地图系统。</w:t>
      </w:r>
    </w:p>
    <w:p w14:paraId="7AC18005">
      <w:pPr>
        <w:spacing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5、加快重点民生工程建设</w:t>
      </w:r>
    </w:p>
    <w:p w14:paraId="247B6C70">
      <w:pPr>
        <w:spacing w:afterLines="0"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持续改善办学条件，湖南大学科创港校区顺利开工，湖南师范大学新校区启动前期工作。中南大学湘雅医院列入国家医学中心建设单位名单。益阳、衡阳获批国家第三批儿童友好城市试点。“我的韶山行”红色研学活动顺利实施。</w:t>
      </w:r>
    </w:p>
    <w:p w14:paraId="14CDE486">
      <w:pPr>
        <w:numPr>
          <w:ilvl w:val="0"/>
          <w:numId w:val="0"/>
        </w:numPr>
        <w:spacing w:line="600" w:lineRule="exact"/>
        <w:ind w:firstLine="640" w:firstLineChars="200"/>
        <w:outlineLvl w:val="2"/>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6、</w:t>
      </w:r>
      <w:r>
        <w:rPr>
          <w:rFonts w:hint="default" w:eastAsia="仿宋_GB2312"/>
          <w:color w:val="auto"/>
          <w:sz w:val="32"/>
          <w:szCs w:val="32"/>
          <w:highlight w:val="none"/>
          <w:lang w:val="en-US" w:eastAsia="zh-CN"/>
        </w:rPr>
        <w:t>提升省级储备粮仓储能力</w:t>
      </w:r>
    </w:p>
    <w:p w14:paraId="594750C2">
      <w:pPr>
        <w:numPr>
          <w:ilvl w:val="0"/>
          <w:numId w:val="0"/>
        </w:numPr>
        <w:spacing w:line="600" w:lineRule="exact"/>
        <w:ind w:firstLine="640" w:firstLineChars="200"/>
        <w:outlineLvl w:val="2"/>
        <w:rPr>
          <w:rFonts w:hint="eastAsia" w:eastAsia="仿宋_GB2312"/>
          <w:color w:val="auto"/>
          <w:sz w:val="32"/>
          <w:szCs w:val="32"/>
          <w:highlight w:val="none"/>
          <w:lang w:val="en" w:eastAsia="zh-CN"/>
        </w:rPr>
      </w:pPr>
      <w:r>
        <w:rPr>
          <w:rFonts w:hint="default" w:eastAsia="仿宋_GB2312"/>
          <w:color w:val="auto"/>
          <w:sz w:val="32"/>
          <w:szCs w:val="32"/>
          <w:highlight w:val="none"/>
          <w:lang w:val="en" w:eastAsia="zh-CN"/>
        </w:rPr>
        <w:t>保障粮食安全</w:t>
      </w:r>
      <w:r>
        <w:rPr>
          <w:rFonts w:hint="eastAsia" w:eastAsia="仿宋_GB2312"/>
          <w:color w:val="auto"/>
          <w:sz w:val="32"/>
          <w:szCs w:val="32"/>
          <w:highlight w:val="none"/>
          <w:lang w:val="en" w:eastAsia="zh-CN"/>
        </w:rPr>
        <w:t>，</w:t>
      </w:r>
      <w:r>
        <w:rPr>
          <w:rFonts w:hint="default" w:eastAsia="仿宋_GB2312"/>
          <w:color w:val="auto"/>
          <w:sz w:val="32"/>
          <w:szCs w:val="32"/>
          <w:highlight w:val="none"/>
          <w:lang w:val="en" w:eastAsia="zh-CN"/>
        </w:rPr>
        <w:t>建设一批符合统一承储仓容布局且承担省级储备粮承储任务、辐射带动能力较强的项目，新增一定规模的有效仓容，对现有仓容进行改造升级，提升省级储备粮仓储能力</w:t>
      </w:r>
      <w:r>
        <w:rPr>
          <w:rFonts w:hint="eastAsia" w:eastAsia="仿宋_GB2312"/>
          <w:color w:val="auto"/>
          <w:sz w:val="32"/>
          <w:szCs w:val="32"/>
          <w:highlight w:val="none"/>
          <w:lang w:val="en" w:eastAsia="zh-CN"/>
        </w:rPr>
        <w:t>。</w:t>
      </w:r>
    </w:p>
    <w:bookmarkEnd w:id="72"/>
    <w:p w14:paraId="674CC4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楷体_GB2312"/>
          <w:b/>
          <w:color w:val="auto"/>
          <w:sz w:val="32"/>
          <w:szCs w:val="32"/>
          <w:highlight w:val="none"/>
        </w:rPr>
      </w:pPr>
      <w:bookmarkStart w:id="73" w:name="_Toc848"/>
      <w:bookmarkStart w:id="74" w:name="_Toc10667_WPSOffice_Level2"/>
      <w:bookmarkStart w:id="75" w:name="_Toc30628"/>
      <w:r>
        <w:rPr>
          <w:rFonts w:hint="eastAsia" w:eastAsia="楷体_GB2312"/>
          <w:b/>
          <w:color w:val="auto"/>
          <w:sz w:val="32"/>
          <w:szCs w:val="32"/>
          <w:highlight w:val="none"/>
        </w:rPr>
        <w:t>（二）评价结论</w:t>
      </w:r>
      <w:bookmarkEnd w:id="73"/>
      <w:bookmarkEnd w:id="74"/>
      <w:bookmarkEnd w:id="75"/>
    </w:p>
    <w:p w14:paraId="0F2D4BAA">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eastAsia="zh-CN"/>
        </w:rPr>
        <w:t>2024年度省预算内基本建设专项资金</w:t>
      </w:r>
      <w:r>
        <w:rPr>
          <w:rFonts w:hint="eastAsia" w:eastAsia="仿宋_GB2312"/>
          <w:color w:val="auto"/>
          <w:sz w:val="32"/>
          <w:szCs w:val="32"/>
          <w:highlight w:val="none"/>
        </w:rPr>
        <w:t>项目，严格按照项目的要求管理使用和分配专项资金，为扩大有效投资、保持经济平稳运行作出了积极的重要贡献，项目年度绩效目标已</w:t>
      </w:r>
      <w:r>
        <w:rPr>
          <w:rFonts w:hint="eastAsia" w:eastAsia="仿宋_GB2312"/>
          <w:color w:val="auto"/>
          <w:sz w:val="32"/>
          <w:szCs w:val="32"/>
          <w:highlight w:val="none"/>
          <w:lang w:val="en-US" w:eastAsia="zh-CN"/>
        </w:rPr>
        <w:t>基本</w:t>
      </w:r>
      <w:r>
        <w:rPr>
          <w:rFonts w:hint="eastAsia" w:eastAsia="仿宋_GB2312"/>
          <w:color w:val="auto"/>
          <w:sz w:val="32"/>
          <w:szCs w:val="32"/>
          <w:highlight w:val="none"/>
        </w:rPr>
        <w:t>完成。通过定量和定性分析，从预算执行率、产出指标、效益指标、服务对象满意度指标</w:t>
      </w:r>
      <w:r>
        <w:rPr>
          <w:rFonts w:hint="eastAsia" w:eastAsia="仿宋_GB2312"/>
          <w:color w:val="auto"/>
          <w:sz w:val="32"/>
          <w:szCs w:val="32"/>
          <w:highlight w:val="none"/>
          <w:lang w:val="en-US" w:eastAsia="zh-CN"/>
        </w:rPr>
        <w:t>完成情况等方面</w:t>
      </w:r>
      <w:r>
        <w:rPr>
          <w:rFonts w:hint="eastAsia" w:eastAsia="仿宋_GB2312"/>
          <w:color w:val="auto"/>
          <w:sz w:val="32"/>
          <w:szCs w:val="32"/>
          <w:highlight w:val="none"/>
        </w:rPr>
        <w:t>进行评价，本项目自评综合评分为</w:t>
      </w:r>
      <w:r>
        <w:rPr>
          <w:rFonts w:hint="eastAsia" w:eastAsia="仿宋_GB2312"/>
          <w:color w:val="auto"/>
          <w:sz w:val="32"/>
          <w:szCs w:val="32"/>
          <w:highlight w:val="none"/>
          <w:lang w:eastAsia="zh-CN"/>
        </w:rPr>
        <w:t>96.28</w:t>
      </w:r>
      <w:r>
        <w:rPr>
          <w:rFonts w:hint="eastAsia" w:eastAsia="仿宋_GB2312"/>
          <w:color w:val="auto"/>
          <w:sz w:val="32"/>
          <w:szCs w:val="32"/>
          <w:highlight w:val="none"/>
        </w:rPr>
        <w:t>分，评价等级为优。</w:t>
      </w:r>
    </w:p>
    <w:p w14:paraId="16B3B64E">
      <w:pPr>
        <w:spacing w:line="600" w:lineRule="exact"/>
        <w:ind w:firstLine="643" w:firstLineChars="200"/>
        <w:outlineLvl w:val="0"/>
        <w:rPr>
          <w:rFonts w:eastAsia="黑体"/>
          <w:b/>
          <w:bCs/>
          <w:color w:val="auto"/>
          <w:sz w:val="32"/>
          <w:szCs w:val="32"/>
          <w:highlight w:val="none"/>
        </w:rPr>
      </w:pPr>
      <w:bookmarkStart w:id="76" w:name="_Toc9681"/>
      <w:bookmarkStart w:id="77" w:name="_Toc10667_WPSOffice_Level1"/>
      <w:bookmarkStart w:id="78" w:name="_Toc19694"/>
      <w:r>
        <w:rPr>
          <w:rFonts w:hint="eastAsia" w:eastAsia="黑体"/>
          <w:b/>
          <w:bCs/>
          <w:color w:val="auto"/>
          <w:sz w:val="32"/>
          <w:szCs w:val="32"/>
          <w:highlight w:val="none"/>
        </w:rPr>
        <w:t>四、绩效</w:t>
      </w:r>
      <w:r>
        <w:rPr>
          <w:rFonts w:hint="eastAsia" w:eastAsia="黑体"/>
          <w:b/>
          <w:bCs/>
          <w:color w:val="auto"/>
          <w:sz w:val="32"/>
          <w:szCs w:val="32"/>
          <w:highlight w:val="none"/>
          <w:lang w:val="en-US" w:eastAsia="zh-CN"/>
        </w:rPr>
        <w:t>自评</w:t>
      </w:r>
      <w:r>
        <w:rPr>
          <w:rFonts w:hint="eastAsia" w:eastAsia="黑体"/>
          <w:b/>
          <w:bCs/>
          <w:color w:val="auto"/>
          <w:sz w:val="32"/>
          <w:szCs w:val="32"/>
          <w:highlight w:val="none"/>
        </w:rPr>
        <w:t>指标分析</w:t>
      </w:r>
      <w:bookmarkEnd w:id="76"/>
      <w:bookmarkEnd w:id="77"/>
      <w:bookmarkEnd w:id="78"/>
    </w:p>
    <w:p w14:paraId="6D9EDED1">
      <w:pPr>
        <w:spacing w:line="600" w:lineRule="exact"/>
        <w:ind w:firstLine="643" w:firstLineChars="200"/>
        <w:outlineLvl w:val="1"/>
        <w:rPr>
          <w:rFonts w:hint="eastAsia" w:eastAsia="楷体_GB2312"/>
          <w:b/>
          <w:color w:val="auto"/>
          <w:sz w:val="32"/>
          <w:szCs w:val="32"/>
          <w:highlight w:val="none"/>
          <w:lang w:val="en-US" w:eastAsia="zh-CN"/>
        </w:rPr>
      </w:pPr>
      <w:bookmarkStart w:id="79" w:name="_Toc15068"/>
      <w:bookmarkStart w:id="80" w:name="_Toc417"/>
      <w:bookmarkStart w:id="81" w:name="_Toc14991_WPSOffice_Level2"/>
      <w:r>
        <w:rPr>
          <w:rFonts w:hint="eastAsia" w:eastAsia="楷体_GB2312"/>
          <w:b/>
          <w:color w:val="auto"/>
          <w:sz w:val="32"/>
          <w:szCs w:val="32"/>
          <w:highlight w:val="none"/>
        </w:rPr>
        <w:t>（一）预算执行率</w:t>
      </w:r>
      <w:r>
        <w:rPr>
          <w:rFonts w:hint="eastAsia" w:eastAsia="楷体_GB2312"/>
          <w:b/>
          <w:color w:val="auto"/>
          <w:sz w:val="32"/>
          <w:szCs w:val="32"/>
          <w:highlight w:val="none"/>
          <w:lang w:val="en-US" w:eastAsia="zh-CN"/>
        </w:rPr>
        <w:t>完成情况</w:t>
      </w:r>
      <w:bookmarkEnd w:id="79"/>
    </w:p>
    <w:bookmarkEnd w:id="80"/>
    <w:bookmarkEnd w:id="81"/>
    <w:p w14:paraId="454A3ACF">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预算执行率指标分值为</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6.48</w:t>
      </w:r>
      <w:r>
        <w:rPr>
          <w:rFonts w:hint="eastAsia" w:eastAsia="仿宋_GB2312"/>
          <w:color w:val="auto"/>
          <w:sz w:val="32"/>
          <w:szCs w:val="32"/>
          <w:highlight w:val="none"/>
        </w:rPr>
        <w:t>分</w:t>
      </w:r>
      <w:r>
        <w:rPr>
          <w:rFonts w:hint="eastAsia" w:eastAsia="仿宋_GB2312"/>
          <w:color w:val="auto"/>
          <w:sz w:val="32"/>
          <w:szCs w:val="32"/>
          <w:highlight w:val="none"/>
        </w:rPr>
        <w:t>，主要扣分原因</w:t>
      </w:r>
      <w:r>
        <w:rPr>
          <w:rFonts w:hint="eastAsia" w:eastAsia="仿宋_GB2312"/>
          <w:color w:val="auto"/>
          <w:sz w:val="32"/>
          <w:szCs w:val="32"/>
          <w:highlight w:val="none"/>
          <w:lang w:val="en-US" w:eastAsia="zh-CN"/>
        </w:rPr>
        <w:t>为：预算执行率不高。一是</w:t>
      </w:r>
      <w:r>
        <w:rPr>
          <w:rFonts w:hint="eastAsia" w:eastAsia="仿宋_GB2312"/>
          <w:color w:val="auto"/>
          <w:sz w:val="32"/>
          <w:szCs w:val="32"/>
          <w:highlight w:val="none"/>
        </w:rPr>
        <w:t>部分市州、县市区专项资金拨付不及时，专项资金</w:t>
      </w:r>
      <w:r>
        <w:rPr>
          <w:rFonts w:hint="eastAsia" w:eastAsia="仿宋_GB2312"/>
          <w:color w:val="auto"/>
          <w:sz w:val="32"/>
          <w:szCs w:val="32"/>
          <w:highlight w:val="none"/>
          <w:lang w:val="en-US" w:eastAsia="zh-CN"/>
        </w:rPr>
        <w:t>未能足额拨付到位</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二</w:t>
      </w:r>
      <w:r>
        <w:rPr>
          <w:rFonts w:hint="eastAsia" w:eastAsia="仿宋_GB2312"/>
          <w:color w:val="auto"/>
          <w:sz w:val="32"/>
          <w:szCs w:val="32"/>
          <w:highlight w:val="none"/>
        </w:rPr>
        <w:t>是</w:t>
      </w:r>
      <w:r>
        <w:rPr>
          <w:rFonts w:hint="eastAsia" w:eastAsia="仿宋_GB2312"/>
          <w:color w:val="auto"/>
          <w:sz w:val="32"/>
          <w:szCs w:val="32"/>
          <w:highlight w:val="none"/>
          <w:lang w:eastAsia="zh-CN"/>
        </w:rPr>
        <w:t>部分项目为跨年度项目，项目仍在建设期内，而项目实施单位是根据项目实施进度开支专项资金，导致截至2024年12月31日专项资金未全部使用；</w:t>
      </w:r>
      <w:r>
        <w:rPr>
          <w:rFonts w:hint="eastAsia" w:eastAsia="仿宋_GB2312"/>
          <w:color w:val="auto"/>
          <w:sz w:val="32"/>
          <w:szCs w:val="32"/>
          <w:highlight w:val="none"/>
          <w:lang w:val="en-US" w:eastAsia="zh-CN"/>
        </w:rPr>
        <w:t>三</w:t>
      </w:r>
      <w:r>
        <w:rPr>
          <w:rFonts w:hint="eastAsia" w:eastAsia="仿宋_GB2312"/>
          <w:color w:val="auto"/>
          <w:sz w:val="32"/>
          <w:szCs w:val="32"/>
          <w:highlight w:val="none"/>
          <w:lang w:eastAsia="zh-CN"/>
        </w:rPr>
        <w:t>是项目实施周期及前期准备阶段时间较长，导致项目经费无法按照预期计划实施；</w:t>
      </w:r>
      <w:r>
        <w:rPr>
          <w:rFonts w:hint="eastAsia" w:eastAsia="仿宋_GB2312"/>
          <w:color w:val="auto"/>
          <w:sz w:val="32"/>
          <w:szCs w:val="32"/>
          <w:highlight w:val="none"/>
          <w:lang w:val="en-US" w:eastAsia="zh-CN"/>
        </w:rPr>
        <w:t>四</w:t>
      </w:r>
      <w:r>
        <w:rPr>
          <w:rFonts w:hint="eastAsia" w:eastAsia="仿宋_GB2312"/>
          <w:color w:val="auto"/>
          <w:sz w:val="32"/>
          <w:szCs w:val="32"/>
          <w:highlight w:val="none"/>
          <w:lang w:eastAsia="zh-CN"/>
        </w:rPr>
        <w:t>是个别项目款项需待项目结束，验收完工后才能将项目经费付至建设方或服务商。</w:t>
      </w:r>
    </w:p>
    <w:p w14:paraId="727593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eastAsia="楷体_GB2312"/>
          <w:b/>
          <w:color w:val="auto"/>
          <w:sz w:val="32"/>
          <w:szCs w:val="32"/>
          <w:highlight w:val="none"/>
        </w:rPr>
      </w:pPr>
      <w:bookmarkStart w:id="82" w:name="_Toc23618"/>
      <w:bookmarkStart w:id="83" w:name="_Toc10797_WPSOffice_Level2"/>
      <w:bookmarkStart w:id="84" w:name="_Toc15877"/>
      <w:r>
        <w:rPr>
          <w:rFonts w:hint="eastAsia" w:eastAsia="楷体_GB2312"/>
          <w:b/>
          <w:color w:val="auto"/>
          <w:sz w:val="32"/>
          <w:szCs w:val="32"/>
          <w:highlight w:val="none"/>
        </w:rPr>
        <w:t>（二）</w:t>
      </w:r>
      <w:bookmarkEnd w:id="82"/>
      <w:bookmarkEnd w:id="83"/>
      <w:r>
        <w:rPr>
          <w:rFonts w:hint="eastAsia" w:eastAsia="楷体_GB2312"/>
          <w:b/>
          <w:color w:val="auto"/>
          <w:sz w:val="32"/>
          <w:szCs w:val="32"/>
          <w:highlight w:val="none"/>
        </w:rPr>
        <w:t>产出指标</w:t>
      </w:r>
      <w:r>
        <w:rPr>
          <w:rFonts w:hint="eastAsia" w:eastAsia="楷体_GB2312"/>
          <w:b/>
          <w:color w:val="auto"/>
          <w:sz w:val="32"/>
          <w:szCs w:val="32"/>
          <w:highlight w:val="none"/>
          <w:lang w:val="en-US" w:eastAsia="zh-CN"/>
        </w:rPr>
        <w:t>完成情况</w:t>
      </w:r>
      <w:bookmarkEnd w:id="84"/>
    </w:p>
    <w:p w14:paraId="7982AC98">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产出指标分值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40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39.80</w:t>
      </w:r>
      <w:r>
        <w:rPr>
          <w:rFonts w:hint="eastAsia" w:eastAsia="仿宋_GB2312"/>
          <w:color w:val="auto"/>
          <w:sz w:val="32"/>
          <w:szCs w:val="32"/>
          <w:highlight w:val="none"/>
        </w:rPr>
        <w:t>分，主要扣分原因</w:t>
      </w:r>
      <w:r>
        <w:rPr>
          <w:rFonts w:hint="eastAsia" w:eastAsia="仿宋_GB2312"/>
          <w:color w:val="auto"/>
          <w:sz w:val="32"/>
          <w:szCs w:val="32"/>
          <w:highlight w:val="none"/>
          <w:lang w:val="en-US" w:eastAsia="zh-CN"/>
        </w:rPr>
        <w:t>为</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个别区县转发下达投资计划时间稍晚</w:t>
      </w:r>
      <w:r>
        <w:rPr>
          <w:rFonts w:hint="eastAsia" w:eastAsia="仿宋_GB2312"/>
          <w:color w:val="auto"/>
          <w:sz w:val="32"/>
          <w:szCs w:val="32"/>
          <w:highlight w:val="none"/>
        </w:rPr>
        <w:t>。</w:t>
      </w:r>
    </w:p>
    <w:p w14:paraId="3FD477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eastAsia="楷体_GB2312"/>
          <w:b/>
          <w:color w:val="auto"/>
          <w:sz w:val="32"/>
          <w:szCs w:val="32"/>
          <w:highlight w:val="none"/>
          <w:lang w:val="en-US" w:eastAsia="zh-CN"/>
        </w:rPr>
      </w:pPr>
      <w:bookmarkStart w:id="85" w:name="_Toc24296"/>
      <w:bookmarkStart w:id="86" w:name="_Toc22691_WPSOffice_Level2"/>
      <w:bookmarkStart w:id="87" w:name="_Toc1505"/>
      <w:r>
        <w:rPr>
          <w:rFonts w:hint="eastAsia" w:eastAsia="楷体_GB2312"/>
          <w:b/>
          <w:color w:val="auto"/>
          <w:sz w:val="32"/>
          <w:szCs w:val="32"/>
          <w:highlight w:val="none"/>
        </w:rPr>
        <w:t>（三）</w:t>
      </w:r>
      <w:bookmarkEnd w:id="85"/>
      <w:bookmarkEnd w:id="86"/>
      <w:r>
        <w:rPr>
          <w:rFonts w:hint="eastAsia" w:eastAsia="楷体_GB2312"/>
          <w:b/>
          <w:color w:val="auto"/>
          <w:sz w:val="32"/>
          <w:szCs w:val="32"/>
          <w:highlight w:val="none"/>
        </w:rPr>
        <w:t>效益指标</w:t>
      </w:r>
      <w:r>
        <w:rPr>
          <w:rFonts w:hint="eastAsia" w:eastAsia="楷体_GB2312"/>
          <w:b/>
          <w:color w:val="auto"/>
          <w:sz w:val="32"/>
          <w:szCs w:val="32"/>
          <w:highlight w:val="none"/>
          <w:lang w:val="en-US" w:eastAsia="zh-CN"/>
        </w:rPr>
        <w:t>完成情况</w:t>
      </w:r>
      <w:bookmarkEnd w:id="87"/>
    </w:p>
    <w:p w14:paraId="76A4A7C0">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效益指标分值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0分，评价得分</w:t>
      </w:r>
      <w:r>
        <w:rPr>
          <w:rFonts w:hint="eastAsia" w:eastAsia="仿宋_GB2312"/>
          <w:color w:val="auto"/>
          <w:sz w:val="32"/>
          <w:szCs w:val="32"/>
          <w:highlight w:val="none"/>
          <w:lang w:val="en-US" w:eastAsia="zh-CN"/>
        </w:rPr>
        <w:t>30</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lang w:eastAsia="zh-CN"/>
        </w:rPr>
        <w:t>。</w:t>
      </w:r>
    </w:p>
    <w:p w14:paraId="7E51D50A">
      <w:pPr>
        <w:spacing w:line="600" w:lineRule="exact"/>
        <w:ind w:firstLine="643" w:firstLineChars="200"/>
        <w:outlineLvl w:val="1"/>
        <w:rPr>
          <w:rFonts w:eastAsia="楷体_GB2312"/>
          <w:b/>
          <w:color w:val="auto"/>
          <w:sz w:val="32"/>
          <w:szCs w:val="32"/>
          <w:highlight w:val="none"/>
        </w:rPr>
      </w:pPr>
      <w:bookmarkStart w:id="88" w:name="_Toc26953"/>
      <w:bookmarkStart w:id="89" w:name="_Toc26822_WPSOffice_Level2"/>
      <w:bookmarkStart w:id="90" w:name="_Toc12726"/>
      <w:r>
        <w:rPr>
          <w:rFonts w:hint="eastAsia" w:eastAsia="楷体_GB2312"/>
          <w:b/>
          <w:color w:val="auto"/>
          <w:sz w:val="32"/>
          <w:szCs w:val="32"/>
          <w:highlight w:val="none"/>
        </w:rPr>
        <w:t>（四）</w:t>
      </w:r>
      <w:bookmarkEnd w:id="88"/>
      <w:bookmarkEnd w:id="89"/>
      <w:r>
        <w:rPr>
          <w:rFonts w:hint="eastAsia" w:eastAsia="楷体_GB2312"/>
          <w:b/>
          <w:color w:val="auto"/>
          <w:sz w:val="32"/>
          <w:szCs w:val="32"/>
          <w:highlight w:val="none"/>
          <w:lang w:val="en-US" w:eastAsia="zh-CN"/>
        </w:rPr>
        <w:t>成本</w:t>
      </w:r>
      <w:r>
        <w:rPr>
          <w:rFonts w:hint="eastAsia" w:eastAsia="楷体_GB2312"/>
          <w:b/>
          <w:color w:val="auto"/>
          <w:sz w:val="32"/>
          <w:szCs w:val="32"/>
          <w:highlight w:val="none"/>
        </w:rPr>
        <w:t>指标</w:t>
      </w:r>
      <w:bookmarkEnd w:id="90"/>
    </w:p>
    <w:p w14:paraId="1AA748EB">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成本</w:t>
      </w:r>
      <w:r>
        <w:rPr>
          <w:rFonts w:hint="eastAsia" w:eastAsia="仿宋_GB2312"/>
          <w:color w:val="auto"/>
          <w:sz w:val="32"/>
          <w:szCs w:val="32"/>
          <w:highlight w:val="none"/>
        </w:rPr>
        <w:t>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lang w:eastAsia="zh-CN"/>
        </w:rPr>
        <w:t>。</w:t>
      </w:r>
    </w:p>
    <w:p w14:paraId="245362BF">
      <w:pPr>
        <w:spacing w:line="600" w:lineRule="exact"/>
        <w:ind w:firstLine="643" w:firstLineChars="200"/>
        <w:outlineLvl w:val="1"/>
        <w:rPr>
          <w:rFonts w:eastAsia="楷体_GB2312"/>
          <w:b/>
          <w:color w:val="auto"/>
          <w:sz w:val="32"/>
          <w:szCs w:val="32"/>
          <w:highlight w:val="none"/>
        </w:rPr>
      </w:pPr>
      <w:r>
        <w:rPr>
          <w:rFonts w:hint="eastAsia" w:eastAsia="楷体_GB2312"/>
          <w:b/>
          <w:color w:val="auto"/>
          <w:sz w:val="32"/>
          <w:szCs w:val="32"/>
          <w:highlight w:val="none"/>
        </w:rPr>
        <w:t>（</w:t>
      </w:r>
      <w:r>
        <w:rPr>
          <w:rFonts w:hint="eastAsia" w:eastAsia="楷体_GB2312"/>
          <w:b/>
          <w:color w:val="auto"/>
          <w:sz w:val="32"/>
          <w:szCs w:val="32"/>
          <w:highlight w:val="none"/>
          <w:lang w:val="en-US" w:eastAsia="zh-CN"/>
        </w:rPr>
        <w:t>五</w:t>
      </w:r>
      <w:r>
        <w:rPr>
          <w:rFonts w:hint="eastAsia" w:eastAsia="楷体_GB2312"/>
          <w:b/>
          <w:color w:val="auto"/>
          <w:sz w:val="32"/>
          <w:szCs w:val="32"/>
          <w:highlight w:val="none"/>
        </w:rPr>
        <w:t>）服务对象满意度指标</w:t>
      </w:r>
    </w:p>
    <w:p w14:paraId="772D6287">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服务对象满意度指标分值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lang w:eastAsia="zh-CN"/>
        </w:rPr>
        <w:t>。</w:t>
      </w:r>
    </w:p>
    <w:p w14:paraId="41E56538">
      <w:pPr>
        <w:spacing w:line="600" w:lineRule="exact"/>
        <w:ind w:firstLine="643" w:firstLineChars="200"/>
        <w:outlineLvl w:val="0"/>
        <w:rPr>
          <w:rFonts w:eastAsia="黑体"/>
          <w:b/>
          <w:bCs/>
          <w:color w:val="auto"/>
          <w:sz w:val="32"/>
          <w:szCs w:val="32"/>
          <w:highlight w:val="none"/>
        </w:rPr>
      </w:pPr>
      <w:bookmarkStart w:id="91" w:name="_Toc30046"/>
      <w:bookmarkStart w:id="92" w:name="_Toc14991_WPSOffice_Level1"/>
      <w:bookmarkStart w:id="93" w:name="_Toc32168"/>
      <w:r>
        <w:rPr>
          <w:rFonts w:hint="eastAsia" w:eastAsia="黑体"/>
          <w:b/>
          <w:bCs/>
          <w:color w:val="auto"/>
          <w:sz w:val="32"/>
          <w:szCs w:val="32"/>
          <w:highlight w:val="none"/>
        </w:rPr>
        <w:t>五</w:t>
      </w:r>
      <w:r>
        <w:rPr>
          <w:rFonts w:eastAsia="黑体"/>
          <w:b/>
          <w:bCs/>
          <w:color w:val="auto"/>
          <w:sz w:val="32"/>
          <w:szCs w:val="32"/>
          <w:highlight w:val="none"/>
        </w:rPr>
        <w:t>、</w:t>
      </w:r>
      <w:r>
        <w:rPr>
          <w:rFonts w:hint="eastAsia" w:eastAsia="黑体"/>
          <w:b/>
          <w:bCs/>
          <w:color w:val="auto"/>
          <w:sz w:val="32"/>
          <w:szCs w:val="32"/>
          <w:highlight w:val="none"/>
        </w:rPr>
        <w:t>主要经验及做法、</w:t>
      </w:r>
      <w:r>
        <w:rPr>
          <w:rFonts w:eastAsia="黑体"/>
          <w:b/>
          <w:bCs/>
          <w:color w:val="auto"/>
          <w:sz w:val="32"/>
          <w:szCs w:val="32"/>
          <w:highlight w:val="none"/>
        </w:rPr>
        <w:t>存在的问题</w:t>
      </w:r>
      <w:r>
        <w:rPr>
          <w:rFonts w:hint="eastAsia" w:eastAsia="黑体"/>
          <w:b/>
          <w:bCs/>
          <w:color w:val="auto"/>
          <w:sz w:val="32"/>
          <w:szCs w:val="32"/>
          <w:highlight w:val="none"/>
        </w:rPr>
        <w:t>及原因分析</w:t>
      </w:r>
      <w:bookmarkEnd w:id="91"/>
      <w:bookmarkEnd w:id="92"/>
      <w:bookmarkEnd w:id="93"/>
    </w:p>
    <w:p w14:paraId="469021BE">
      <w:pPr>
        <w:spacing w:line="600" w:lineRule="exact"/>
        <w:ind w:firstLine="643" w:firstLineChars="200"/>
        <w:outlineLvl w:val="1"/>
        <w:rPr>
          <w:rFonts w:eastAsia="楷体_GB2312"/>
          <w:b/>
          <w:color w:val="auto"/>
          <w:sz w:val="32"/>
          <w:szCs w:val="32"/>
          <w:highlight w:val="none"/>
        </w:rPr>
      </w:pPr>
      <w:bookmarkStart w:id="94" w:name="_Toc27514_WPSOffice_Level2"/>
      <w:bookmarkStart w:id="95" w:name="_Toc24179"/>
      <w:bookmarkStart w:id="96" w:name="_Toc26855"/>
      <w:r>
        <w:rPr>
          <w:rFonts w:hint="eastAsia" w:eastAsia="楷体_GB2312"/>
          <w:b/>
          <w:color w:val="auto"/>
          <w:sz w:val="32"/>
          <w:szCs w:val="32"/>
          <w:highlight w:val="none"/>
        </w:rPr>
        <w:t>（一）主要经验及做法</w:t>
      </w:r>
      <w:bookmarkEnd w:id="94"/>
      <w:bookmarkEnd w:id="95"/>
      <w:bookmarkEnd w:id="96"/>
    </w:p>
    <w:p w14:paraId="23CDCE05">
      <w:pPr>
        <w:spacing w:line="600" w:lineRule="exact"/>
        <w:ind w:firstLine="640" w:firstLineChars="200"/>
        <w:rPr>
          <w:rFonts w:hint="eastAsia" w:eastAsia="仿宋_GB2312"/>
          <w:color w:val="auto"/>
          <w:sz w:val="32"/>
          <w:szCs w:val="32"/>
          <w:highlight w:val="none"/>
          <w:lang w:val="en" w:eastAsia="zh-CN"/>
        </w:rPr>
      </w:pPr>
      <w:r>
        <w:rPr>
          <w:rFonts w:hint="eastAsia" w:eastAsia="仿宋_GB2312"/>
          <w:color w:val="auto"/>
          <w:sz w:val="32"/>
          <w:szCs w:val="32"/>
          <w:highlight w:val="none"/>
          <w:lang w:val="en" w:eastAsia="zh-CN"/>
        </w:rPr>
        <w:t>从绩效自评的情况来看，2024年度省预算内基本建设专项资金整体支出规范，专项资金效益显著，</w:t>
      </w:r>
      <w:r>
        <w:rPr>
          <w:rFonts w:hint="eastAsia" w:eastAsia="仿宋_GB2312"/>
          <w:color w:val="auto"/>
          <w:sz w:val="32"/>
          <w:szCs w:val="32"/>
          <w:highlight w:val="none"/>
          <w:lang w:val="en-US" w:eastAsia="zh-CN"/>
        </w:rPr>
        <w:t>有效地发挥了政府投资的集中力量办大事和引导带动社会投资作用</w:t>
      </w:r>
      <w:r>
        <w:rPr>
          <w:rFonts w:hint="eastAsia" w:eastAsia="仿宋_GB2312"/>
          <w:color w:val="auto"/>
          <w:sz w:val="32"/>
          <w:szCs w:val="32"/>
          <w:highlight w:val="none"/>
          <w:lang w:val="en" w:eastAsia="zh-CN"/>
        </w:rPr>
        <w:t>。主要经验及做法体现在以下几个方面：</w:t>
      </w:r>
    </w:p>
    <w:p w14:paraId="6FF3CCD6">
      <w:pPr>
        <w:spacing w:line="600" w:lineRule="exact"/>
        <w:ind w:firstLine="640" w:firstLineChars="200"/>
        <w:rPr>
          <w:rFonts w:hint="eastAsia" w:eastAsia="仿宋_GB2312"/>
          <w:b w:val="0"/>
          <w:bCs w:val="0"/>
          <w:color w:val="auto"/>
          <w:sz w:val="32"/>
          <w:szCs w:val="32"/>
          <w:highlight w:val="none"/>
          <w:lang w:val="en-US" w:eastAsia="zh-CN"/>
        </w:rPr>
      </w:pPr>
      <w:bookmarkStart w:id="97" w:name="_Toc15007"/>
      <w:r>
        <w:rPr>
          <w:rFonts w:hint="eastAsia" w:eastAsia="仿宋_GB2312"/>
          <w:b w:val="0"/>
          <w:bCs w:val="0"/>
          <w:color w:val="auto"/>
          <w:sz w:val="32"/>
          <w:szCs w:val="32"/>
          <w:highlight w:val="none"/>
          <w:lang w:val="en" w:eastAsia="zh-CN"/>
        </w:rPr>
        <w:t>1、</w:t>
      </w:r>
      <w:bookmarkEnd w:id="97"/>
      <w:bookmarkStart w:id="98" w:name="_Toc9579"/>
      <w:r>
        <w:rPr>
          <w:rFonts w:hint="eastAsia" w:eastAsia="仿宋_GB2312"/>
          <w:b w:val="0"/>
          <w:bCs w:val="0"/>
          <w:color w:val="auto"/>
          <w:sz w:val="32"/>
          <w:szCs w:val="32"/>
          <w:highlight w:val="none"/>
          <w:lang w:val="en-US" w:eastAsia="zh-CN"/>
        </w:rPr>
        <w:t>扩大有效投资，推动投资和消费相互促进的良性循环</w:t>
      </w:r>
    </w:p>
    <w:p w14:paraId="2BED2E1D">
      <w:pPr>
        <w:spacing w:line="600" w:lineRule="exact"/>
        <w:ind w:firstLine="640" w:firstLineChars="200"/>
        <w:outlineLvl w:val="2"/>
        <w:rPr>
          <w:rFonts w:hint="eastAsia" w:eastAsia="仿宋_GB2312"/>
          <w:b w:val="0"/>
          <w:bCs w:val="0"/>
          <w:color w:val="auto"/>
          <w:sz w:val="32"/>
          <w:szCs w:val="32"/>
          <w:highlight w:val="none"/>
          <w:lang w:val="en-US" w:eastAsia="zh-CN"/>
        </w:rPr>
      </w:pPr>
      <w:r>
        <w:rPr>
          <w:rFonts w:hint="eastAsia" w:eastAsia="仿宋_GB2312"/>
          <w:b w:val="0"/>
          <w:bCs w:val="0"/>
          <w:color w:val="auto"/>
          <w:sz w:val="32"/>
          <w:szCs w:val="32"/>
          <w:highlight w:val="none"/>
          <w:lang w:val="en-US" w:eastAsia="zh-CN"/>
        </w:rPr>
        <w:t>贯彻落实中央和全省扩大有效投资工作的部署和要求，突出高质量发展导向，以强化重大项目推进为抓手，聚焦现代化产业体系、现代化基础设施体系、新型城镇化、增进民生福祉和社会事业发展等，加大核心技术攻关、新基建等新赛道新动能，以及重大水利、交通物流、节能减排降碳等补短板强弱项投资，规范推进政府和社会资本合作新机制，有序推进基础设施领域不动产投资信托基金（REITs），着力完善投融资机制，加快形成投资和消费相互促进的良性循环。</w:t>
      </w:r>
    </w:p>
    <w:p w14:paraId="2249D0D7">
      <w:pPr>
        <w:numPr>
          <w:ilvl w:val="0"/>
          <w:numId w:val="0"/>
        </w:numPr>
        <w:spacing w:line="600" w:lineRule="exact"/>
        <w:ind w:firstLine="640" w:firstLineChars="200"/>
        <w:rPr>
          <w:rFonts w:hint="eastAsia" w:eastAsia="仿宋_GB2312"/>
          <w:b w:val="0"/>
          <w:bCs w:val="0"/>
          <w:color w:val="auto"/>
          <w:sz w:val="32"/>
          <w:szCs w:val="32"/>
          <w:highlight w:val="none"/>
          <w:lang w:val="en-US" w:eastAsia="zh-CN"/>
        </w:rPr>
      </w:pPr>
      <w:r>
        <w:rPr>
          <w:rFonts w:hint="eastAsia" w:eastAsia="仿宋_GB2312"/>
          <w:b w:val="0"/>
          <w:bCs w:val="0"/>
          <w:color w:val="auto"/>
          <w:sz w:val="32"/>
          <w:szCs w:val="32"/>
          <w:highlight w:val="none"/>
          <w:lang w:val="en-US" w:eastAsia="zh-CN"/>
        </w:rPr>
        <w:t>2、明确评价范围，落实主体责任</w:t>
      </w:r>
    </w:p>
    <w:p w14:paraId="0C6B72E3">
      <w:pPr>
        <w:numPr>
          <w:ilvl w:val="0"/>
          <w:numId w:val="0"/>
        </w:numPr>
        <w:spacing w:line="600" w:lineRule="exact"/>
        <w:ind w:firstLine="640" w:firstLineChars="200"/>
        <w:rPr>
          <w:rFonts w:hint="eastAsia" w:eastAsia="仿宋_GB2312"/>
          <w:b w:val="0"/>
          <w:bCs w:val="0"/>
          <w:color w:val="auto"/>
          <w:sz w:val="32"/>
          <w:szCs w:val="32"/>
          <w:highlight w:val="none"/>
          <w:lang w:val="en-US" w:eastAsia="zh-CN"/>
        </w:rPr>
      </w:pPr>
      <w:r>
        <w:rPr>
          <w:rFonts w:hint="eastAsia" w:eastAsia="仿宋_GB2312"/>
          <w:b w:val="0"/>
          <w:bCs w:val="0"/>
          <w:color w:val="auto"/>
          <w:sz w:val="32"/>
          <w:szCs w:val="32"/>
          <w:highlight w:val="none"/>
          <w:lang w:val="en-US" w:eastAsia="zh-CN"/>
        </w:rPr>
        <w:t>将</w:t>
      </w:r>
      <w:r>
        <w:rPr>
          <w:rFonts w:hint="eastAsia" w:eastAsia="仿宋_GB2312"/>
          <w:b w:val="0"/>
          <w:bCs w:val="0"/>
          <w:color w:val="auto"/>
          <w:sz w:val="32"/>
          <w:szCs w:val="32"/>
          <w:highlight w:val="none"/>
          <w:lang w:val="en" w:eastAsia="zh-CN"/>
        </w:rPr>
        <w:t>省预算内基本建设</w:t>
      </w:r>
      <w:r>
        <w:rPr>
          <w:rFonts w:hint="eastAsia" w:eastAsia="仿宋_GB2312"/>
          <w:b w:val="0"/>
          <w:bCs w:val="0"/>
          <w:color w:val="auto"/>
          <w:sz w:val="32"/>
          <w:szCs w:val="32"/>
          <w:highlight w:val="none"/>
          <w:lang w:val="en-US" w:eastAsia="zh-CN"/>
        </w:rPr>
        <w:t>投资计划全部纳入年度绩效评价管理范围，由我委各支出方向具体管理处室进行管理，要求项目属地发展改革部门对具体建设项目逐一落实项目（法人）单位及项目责任人、日常监管直接责任单位及监管责任人。要求项目单位和监管单位围绕绩效目标，及时掌握和跟踪目标实现程度和预算执行情况，压实项目单位主体责任和监管单位的监督责任。同时要求项目单位将有关建设进展情况报告我委，对专项资金产生的经济效益、社会效益和公众满意度等绩效情况进行分析，对全年绩效目标完成情况进行综合研判并及时反馈。</w:t>
      </w:r>
    </w:p>
    <w:bookmarkEnd w:id="98"/>
    <w:p w14:paraId="6C5B9EAD">
      <w:pPr>
        <w:numPr>
          <w:ilvl w:val="0"/>
          <w:numId w:val="0"/>
        </w:numPr>
        <w:spacing w:line="600" w:lineRule="exact"/>
        <w:ind w:firstLine="640" w:firstLineChars="200"/>
        <w:outlineLvl w:val="2"/>
        <w:rPr>
          <w:rFonts w:hint="eastAsia" w:eastAsia="仿宋_GB2312"/>
          <w:b w:val="0"/>
          <w:bCs w:val="0"/>
          <w:color w:val="auto"/>
          <w:sz w:val="32"/>
          <w:szCs w:val="32"/>
          <w:highlight w:val="none"/>
          <w:lang w:val="en-US" w:eastAsia="zh-CN"/>
        </w:rPr>
      </w:pPr>
      <w:r>
        <w:rPr>
          <w:rFonts w:hint="eastAsia" w:eastAsia="仿宋_GB2312"/>
          <w:b w:val="0"/>
          <w:bCs w:val="0"/>
          <w:color w:val="auto"/>
          <w:sz w:val="32"/>
          <w:szCs w:val="32"/>
          <w:highlight w:val="none"/>
          <w:lang w:val="en-US" w:eastAsia="zh-CN"/>
        </w:rPr>
        <w:t>3、优化监管方式，规范监管流程</w:t>
      </w:r>
    </w:p>
    <w:p w14:paraId="3AFDB273">
      <w:pPr>
        <w:numPr>
          <w:ilvl w:val="0"/>
          <w:numId w:val="0"/>
        </w:numPr>
        <w:spacing w:line="600" w:lineRule="exact"/>
        <w:outlineLvl w:val="2"/>
        <w:rPr>
          <w:rFonts w:hint="default" w:eastAsia="仿宋_GB2312"/>
          <w:b w:val="0"/>
          <w:bCs w:val="0"/>
          <w:color w:val="auto"/>
          <w:sz w:val="32"/>
          <w:szCs w:val="32"/>
          <w:highlight w:val="none"/>
          <w:lang w:val="en-US" w:eastAsia="zh-CN"/>
        </w:rPr>
      </w:pPr>
      <w:r>
        <w:rPr>
          <w:rFonts w:hint="eastAsia" w:eastAsia="仿宋_GB2312"/>
          <w:b w:val="0"/>
          <w:bCs w:val="0"/>
          <w:color w:val="auto"/>
          <w:sz w:val="32"/>
          <w:szCs w:val="32"/>
          <w:highlight w:val="none"/>
          <w:lang w:val="en-US" w:eastAsia="zh-CN"/>
        </w:rPr>
        <w:t xml:space="preserve">    充分发挥市州发改委和行业主管部门就近监管优势，结合定期调度情况，对每个监管节点存在的问题进行归纳总结，并提出具体整改意见，督促市州及项目单位及时采取措施予以纠正。我委不定期会同有关部门对专项实施情况开展检查和评估督导，检查及评估督导结果将作为后续资金安排、项目选择的重要依据。</w:t>
      </w:r>
    </w:p>
    <w:p w14:paraId="0B300259">
      <w:pPr>
        <w:spacing w:line="600" w:lineRule="exact"/>
        <w:ind w:firstLine="640" w:firstLineChars="200"/>
        <w:outlineLvl w:val="2"/>
        <w:rPr>
          <w:rFonts w:eastAsia="仿宋_GB2312"/>
          <w:b w:val="0"/>
          <w:bCs w:val="0"/>
          <w:color w:val="auto"/>
          <w:sz w:val="32"/>
          <w:szCs w:val="32"/>
          <w:highlight w:val="none"/>
        </w:rPr>
      </w:pPr>
      <w:bookmarkStart w:id="99" w:name="_Toc22110"/>
      <w:r>
        <w:rPr>
          <w:rFonts w:hint="eastAsia" w:eastAsia="仿宋_GB2312"/>
          <w:b w:val="0"/>
          <w:bCs w:val="0"/>
          <w:color w:val="auto"/>
          <w:sz w:val="32"/>
          <w:szCs w:val="32"/>
          <w:highlight w:val="none"/>
          <w:lang w:val="en-US" w:eastAsia="zh-CN"/>
        </w:rPr>
        <w:t>4</w:t>
      </w:r>
      <w:r>
        <w:rPr>
          <w:rFonts w:hint="eastAsia" w:eastAsia="仿宋_GB2312"/>
          <w:b w:val="0"/>
          <w:bCs w:val="0"/>
          <w:color w:val="auto"/>
          <w:sz w:val="32"/>
          <w:szCs w:val="32"/>
          <w:highlight w:val="none"/>
        </w:rPr>
        <w:t>、全程公开，</w:t>
      </w:r>
      <w:bookmarkEnd w:id="99"/>
      <w:r>
        <w:rPr>
          <w:rFonts w:hint="eastAsia" w:eastAsia="仿宋_GB2312"/>
          <w:b w:val="0"/>
          <w:bCs w:val="0"/>
          <w:color w:val="auto"/>
          <w:sz w:val="32"/>
          <w:szCs w:val="32"/>
          <w:highlight w:val="none"/>
        </w:rPr>
        <w:t>协调推进项目建设</w:t>
      </w:r>
    </w:p>
    <w:p w14:paraId="1E48E3AD">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坚持“以公开为常态，不公开为例外”</w:t>
      </w:r>
      <w:r>
        <w:rPr>
          <w:rFonts w:hint="eastAsia" w:eastAsia="仿宋_GB2312"/>
          <w:color w:val="auto"/>
          <w:sz w:val="32"/>
          <w:szCs w:val="32"/>
          <w:highlight w:val="none"/>
          <w:lang w:val="en-US" w:eastAsia="zh-CN"/>
        </w:rPr>
        <w:t>原则</w:t>
      </w:r>
      <w:r>
        <w:rPr>
          <w:rFonts w:hint="eastAsia" w:eastAsia="仿宋_GB2312"/>
          <w:color w:val="auto"/>
          <w:sz w:val="32"/>
          <w:szCs w:val="32"/>
          <w:highlight w:val="none"/>
        </w:rPr>
        <w:t>，除涉密项目外，我委实行在门户网站上进行申报公开、流程公开、结果公开，接受社会监督；定期召开投资和项目协调推进会，及时掌握项目投资计划下达、资金到位、工程进展、投资完成以及项目管理等情况，及时协调项目建设过程中的资金、用地、征拆等矛盾和问题，同时加强监管及问题整改，有效推动项目建设。</w:t>
      </w:r>
    </w:p>
    <w:p w14:paraId="49596901">
      <w:pPr>
        <w:spacing w:line="600" w:lineRule="exact"/>
        <w:ind w:firstLine="643" w:firstLineChars="200"/>
        <w:outlineLvl w:val="1"/>
        <w:rPr>
          <w:rFonts w:eastAsia="楷体_GB2312"/>
          <w:b/>
          <w:color w:val="auto"/>
          <w:sz w:val="32"/>
          <w:szCs w:val="32"/>
          <w:highlight w:val="none"/>
        </w:rPr>
      </w:pPr>
      <w:bookmarkStart w:id="100" w:name="_Toc30963_WPSOffice_Level2"/>
      <w:bookmarkStart w:id="101" w:name="_Toc5474"/>
      <w:bookmarkStart w:id="102" w:name="_Toc31724"/>
      <w:r>
        <w:rPr>
          <w:rFonts w:hint="eastAsia" w:eastAsia="楷体_GB2312"/>
          <w:b/>
          <w:color w:val="auto"/>
          <w:sz w:val="32"/>
          <w:szCs w:val="32"/>
          <w:highlight w:val="none"/>
        </w:rPr>
        <w:t>（二）存在的问题及其原因分析</w:t>
      </w:r>
      <w:bookmarkEnd w:id="100"/>
      <w:bookmarkEnd w:id="101"/>
      <w:bookmarkEnd w:id="102"/>
    </w:p>
    <w:p w14:paraId="5E1AFB38">
      <w:pPr>
        <w:spacing w:afterLines="0" w:line="60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olor w:val="auto"/>
          <w:sz w:val="32"/>
          <w:szCs w:val="32"/>
          <w:highlight w:val="none"/>
          <w:lang w:eastAsia="zh-CN"/>
        </w:rPr>
        <w:t>通过本次绩效自评，</w:t>
      </w:r>
      <w:r>
        <w:rPr>
          <w:rFonts w:hint="default" w:ascii="Times New Roman" w:hAnsi="Times New Roman" w:eastAsia="仿宋_GB2312" w:cs="Times New Roman"/>
          <w:color w:val="auto"/>
          <w:sz w:val="32"/>
          <w:szCs w:val="32"/>
          <w:highlight w:val="none"/>
        </w:rPr>
        <w:t>发现</w:t>
      </w:r>
      <w:r>
        <w:rPr>
          <w:rFonts w:hint="eastAsia" w:eastAsia="仿宋_GB2312" w:cs="Times New Roman"/>
          <w:color w:val="auto"/>
          <w:sz w:val="32"/>
          <w:szCs w:val="32"/>
          <w:highlight w:val="none"/>
          <w:lang w:val="en-US" w:eastAsia="zh-CN"/>
        </w:rPr>
        <w:t>省预算内基本建设专项还存在一些不足，主要体现在</w:t>
      </w:r>
      <w:r>
        <w:rPr>
          <w:rFonts w:hint="default" w:ascii="Times New Roman" w:hAnsi="Times New Roman" w:eastAsia="仿宋_GB2312" w:cs="Times New Roman"/>
          <w:color w:val="auto"/>
          <w:sz w:val="32"/>
          <w:szCs w:val="32"/>
          <w:highlight w:val="none"/>
        </w:rPr>
        <w:t>：</w:t>
      </w:r>
    </w:p>
    <w:p w14:paraId="63BD1D4C">
      <w:pPr>
        <w:spacing w:line="600" w:lineRule="exact"/>
        <w:ind w:firstLine="640" w:firstLineChars="200"/>
        <w:rPr>
          <w:rFonts w:hint="eastAsia" w:eastAsia="仿宋_GB2312"/>
          <w:color w:val="auto"/>
          <w:sz w:val="32"/>
          <w:szCs w:val="32"/>
          <w:highlight w:val="none"/>
        </w:rPr>
      </w:pPr>
      <w:bookmarkStart w:id="103" w:name="_Toc26199828"/>
      <w:r>
        <w:rPr>
          <w:rFonts w:hint="eastAsia" w:eastAsia="仿宋_GB2312"/>
          <w:color w:val="auto"/>
          <w:sz w:val="32"/>
          <w:szCs w:val="32"/>
          <w:highlight w:val="none"/>
          <w:lang w:val="en-US" w:eastAsia="zh-CN"/>
        </w:rPr>
        <w:t>1、</w:t>
      </w:r>
      <w:r>
        <w:rPr>
          <w:rFonts w:hint="eastAsia" w:eastAsia="仿宋_GB2312"/>
          <w:color w:val="auto"/>
          <w:sz w:val="32"/>
          <w:szCs w:val="32"/>
          <w:highlight w:val="none"/>
        </w:rPr>
        <w:t>预算执行率不高</w:t>
      </w:r>
    </w:p>
    <w:p w14:paraId="24850A92">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截至2024年12月31日，我委20</w:t>
      </w:r>
      <w:r>
        <w:rPr>
          <w:rFonts w:hint="eastAsia" w:eastAsia="仿宋_GB2312"/>
          <w:color w:val="auto"/>
          <w:sz w:val="32"/>
          <w:szCs w:val="32"/>
          <w:highlight w:val="none"/>
          <w:lang w:val="en-US" w:eastAsia="zh-CN"/>
        </w:rPr>
        <w:t>24</w:t>
      </w:r>
      <w:r>
        <w:rPr>
          <w:rFonts w:hint="eastAsia" w:eastAsia="仿宋_GB2312"/>
          <w:color w:val="auto"/>
          <w:sz w:val="32"/>
          <w:szCs w:val="32"/>
          <w:highlight w:val="none"/>
          <w:lang w:eastAsia="zh-CN"/>
        </w:rPr>
        <w:t>年度省预算内基本建设投资专项资金预算执行率为</w:t>
      </w:r>
      <w:r>
        <w:rPr>
          <w:rFonts w:hint="eastAsia" w:eastAsia="仿宋_GB2312"/>
          <w:color w:val="auto"/>
          <w:sz w:val="32"/>
          <w:szCs w:val="32"/>
          <w:highlight w:val="none"/>
          <w:lang w:val="en-US" w:eastAsia="zh-CN"/>
        </w:rPr>
        <w:t>64.79%</w:t>
      </w:r>
      <w:r>
        <w:rPr>
          <w:rFonts w:hint="eastAsia" w:eastAsia="仿宋_GB2312"/>
          <w:color w:val="auto"/>
          <w:sz w:val="32"/>
          <w:szCs w:val="32"/>
          <w:highlight w:val="none"/>
          <w:lang w:eastAsia="zh-CN"/>
        </w:rPr>
        <w:t>。执行率偏低的原因，</w:t>
      </w:r>
      <w:r>
        <w:rPr>
          <w:rFonts w:hint="eastAsia" w:eastAsia="仿宋_GB2312"/>
          <w:color w:val="auto"/>
          <w:sz w:val="32"/>
          <w:szCs w:val="32"/>
          <w:highlight w:val="none"/>
        </w:rPr>
        <w:t>一是</w:t>
      </w:r>
      <w:r>
        <w:rPr>
          <w:rFonts w:hint="eastAsia" w:eastAsia="仿宋_GB2312"/>
          <w:color w:val="auto"/>
          <w:sz w:val="32"/>
          <w:szCs w:val="32"/>
          <w:highlight w:val="none"/>
          <w:lang w:eastAsia="zh-CN"/>
        </w:rPr>
        <w:t>部分项目为跨年度项目，项目仍在建设期内，而项目实施单位是根据项目实施进度开支专项资金，导致截至2024年12月31日专项资金未全部使用；</w:t>
      </w:r>
      <w:r>
        <w:rPr>
          <w:rFonts w:hint="eastAsia" w:eastAsia="仿宋_GB2312"/>
          <w:color w:val="auto"/>
          <w:sz w:val="32"/>
          <w:szCs w:val="32"/>
          <w:highlight w:val="none"/>
          <w:lang w:val="en-US" w:eastAsia="zh-CN"/>
        </w:rPr>
        <w:t>二</w:t>
      </w:r>
      <w:r>
        <w:rPr>
          <w:rFonts w:hint="eastAsia" w:eastAsia="仿宋_GB2312"/>
          <w:color w:val="auto"/>
          <w:sz w:val="32"/>
          <w:szCs w:val="32"/>
          <w:highlight w:val="none"/>
          <w:lang w:eastAsia="zh-CN"/>
        </w:rPr>
        <w:t>是项目实施周期及前期准备阶段时间较长，导致项目经费无法按照预期计划实施；</w:t>
      </w:r>
      <w:r>
        <w:rPr>
          <w:rFonts w:hint="eastAsia" w:eastAsia="仿宋_GB2312"/>
          <w:color w:val="auto"/>
          <w:sz w:val="32"/>
          <w:szCs w:val="32"/>
          <w:highlight w:val="none"/>
          <w:lang w:val="en-US" w:eastAsia="zh-CN"/>
        </w:rPr>
        <w:t>三</w:t>
      </w:r>
      <w:r>
        <w:rPr>
          <w:rFonts w:hint="eastAsia" w:eastAsia="仿宋_GB2312"/>
          <w:color w:val="auto"/>
          <w:sz w:val="32"/>
          <w:szCs w:val="32"/>
          <w:highlight w:val="none"/>
          <w:lang w:eastAsia="zh-CN"/>
        </w:rPr>
        <w:t>是个别项目款项需待项目结束，验收完工后才能将项目经费付至建设方或服务商。</w:t>
      </w:r>
    </w:p>
    <w:p w14:paraId="4608F3F0">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2、部分</w:t>
      </w:r>
      <w:r>
        <w:rPr>
          <w:rFonts w:hint="eastAsia" w:eastAsia="仿宋_GB2312"/>
          <w:color w:val="auto"/>
          <w:sz w:val="32"/>
          <w:szCs w:val="32"/>
          <w:highlight w:val="none"/>
        </w:rPr>
        <w:t>项目专项资金拨付时间较晚或未完全拨付到位</w:t>
      </w:r>
    </w:p>
    <w:p w14:paraId="0524B5EB">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根据</w:t>
      </w:r>
      <w:r>
        <w:rPr>
          <w:rFonts w:hint="eastAsia" w:eastAsia="仿宋_GB2312"/>
          <w:color w:val="auto"/>
          <w:sz w:val="32"/>
          <w:szCs w:val="32"/>
          <w:highlight w:val="none"/>
          <w:lang w:val="en-US" w:eastAsia="zh-CN"/>
        </w:rPr>
        <w:t>项目单位自评情况</w:t>
      </w:r>
      <w:r>
        <w:rPr>
          <w:rFonts w:hint="eastAsia" w:eastAsia="仿宋_GB2312"/>
          <w:color w:val="auto"/>
          <w:sz w:val="32"/>
          <w:szCs w:val="32"/>
          <w:highlight w:val="none"/>
        </w:rPr>
        <w:t>来看，</w:t>
      </w:r>
      <w:r>
        <w:rPr>
          <w:rFonts w:hint="eastAsia" w:eastAsia="仿宋_GB2312"/>
          <w:color w:val="auto"/>
          <w:sz w:val="32"/>
          <w:szCs w:val="32"/>
          <w:highlight w:val="none"/>
          <w:lang w:val="en-US" w:eastAsia="zh-CN"/>
        </w:rPr>
        <w:t>部分</w:t>
      </w:r>
      <w:r>
        <w:rPr>
          <w:rFonts w:hint="eastAsia" w:eastAsia="仿宋_GB2312"/>
          <w:color w:val="auto"/>
          <w:sz w:val="32"/>
          <w:szCs w:val="32"/>
          <w:highlight w:val="none"/>
        </w:rPr>
        <w:t>项目专项资金拨付时间较晚或未完全拨付至</w:t>
      </w:r>
      <w:r>
        <w:rPr>
          <w:rFonts w:hint="eastAsia" w:eastAsia="仿宋_GB2312"/>
          <w:color w:val="auto"/>
          <w:sz w:val="32"/>
          <w:szCs w:val="32"/>
          <w:highlight w:val="none"/>
          <w:lang w:val="en-US" w:eastAsia="zh-CN"/>
        </w:rPr>
        <w:t>项目实施单位</w:t>
      </w:r>
      <w:r>
        <w:rPr>
          <w:rFonts w:hint="eastAsia" w:eastAsia="仿宋_GB2312"/>
          <w:color w:val="auto"/>
          <w:sz w:val="32"/>
          <w:szCs w:val="32"/>
          <w:highlight w:val="none"/>
        </w:rPr>
        <w:t>。如：高校师生创业就业创新及北斗规模应用</w:t>
      </w:r>
      <w:r>
        <w:rPr>
          <w:rFonts w:hint="eastAsia" w:eastAsia="仿宋_GB2312"/>
          <w:color w:val="auto"/>
          <w:sz w:val="32"/>
          <w:szCs w:val="32"/>
          <w:highlight w:val="none"/>
          <w:lang w:val="en-US" w:eastAsia="zh-CN"/>
        </w:rPr>
        <w:t>-中电软件园高校师生创业就业创新公共服务平台项目专项资金共计300万元，于2025年3月18日到账。废旧产品设备回收循环利用-靖州金益再生资源循环利用项目专项资金共计500.00万元，于2024年11月29日拨付到位300.00万元，剩余200.00万元暂存于靖州苗族侗族自治县财政局账户上暂未拨付。</w:t>
      </w:r>
      <w:r>
        <w:rPr>
          <w:rFonts w:hint="eastAsia" w:eastAsia="仿宋_GB2312"/>
          <w:color w:val="auto"/>
          <w:sz w:val="32"/>
          <w:szCs w:val="32"/>
          <w:highlight w:val="none"/>
        </w:rPr>
        <w:t>部分专项资金长时间滞留在项目相关县市区</w:t>
      </w:r>
      <w:r>
        <w:rPr>
          <w:rFonts w:hint="eastAsia" w:eastAsia="仿宋_GB2312"/>
          <w:color w:val="auto"/>
          <w:sz w:val="32"/>
          <w:szCs w:val="32"/>
          <w:highlight w:val="none"/>
          <w:lang w:val="en-US" w:eastAsia="zh-CN"/>
        </w:rPr>
        <w:t>级</w:t>
      </w:r>
      <w:r>
        <w:rPr>
          <w:rFonts w:hint="eastAsia" w:eastAsia="仿宋_GB2312"/>
          <w:color w:val="auto"/>
          <w:sz w:val="32"/>
          <w:szCs w:val="32"/>
          <w:highlight w:val="none"/>
        </w:rPr>
        <w:t>账户，未能</w:t>
      </w:r>
      <w:r>
        <w:rPr>
          <w:rFonts w:hint="eastAsia" w:eastAsia="仿宋_GB2312"/>
          <w:color w:val="auto"/>
          <w:sz w:val="32"/>
          <w:szCs w:val="32"/>
          <w:highlight w:val="none"/>
          <w:lang w:val="en-US" w:eastAsia="zh-CN"/>
        </w:rPr>
        <w:t>充分</w:t>
      </w:r>
      <w:r>
        <w:rPr>
          <w:rFonts w:hint="eastAsia" w:eastAsia="仿宋_GB2312"/>
          <w:color w:val="auto"/>
          <w:sz w:val="32"/>
          <w:szCs w:val="32"/>
          <w:highlight w:val="none"/>
        </w:rPr>
        <w:t>发挥专项资金的引导和带动作用。</w:t>
      </w:r>
    </w:p>
    <w:p w14:paraId="6BA4AE31">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3、部分</w:t>
      </w:r>
      <w:r>
        <w:rPr>
          <w:rFonts w:hint="eastAsia" w:eastAsia="仿宋_GB2312"/>
          <w:color w:val="auto"/>
          <w:sz w:val="32"/>
          <w:szCs w:val="32"/>
          <w:highlight w:val="none"/>
        </w:rPr>
        <w:t>项目专项资金使用效率不高</w:t>
      </w:r>
    </w:p>
    <w:p w14:paraId="29F52414">
      <w:p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rPr>
        <w:t>根据</w:t>
      </w:r>
      <w:r>
        <w:rPr>
          <w:rFonts w:hint="eastAsia" w:eastAsia="仿宋_GB2312"/>
          <w:color w:val="auto"/>
          <w:sz w:val="32"/>
          <w:szCs w:val="32"/>
          <w:highlight w:val="none"/>
          <w:lang w:val="en-US" w:eastAsia="zh-CN"/>
        </w:rPr>
        <w:t>项目单位自评</w:t>
      </w:r>
      <w:r>
        <w:rPr>
          <w:rFonts w:hint="eastAsia" w:eastAsia="仿宋_GB2312"/>
          <w:color w:val="auto"/>
          <w:sz w:val="32"/>
          <w:szCs w:val="32"/>
          <w:highlight w:val="none"/>
        </w:rPr>
        <w:t>情况来看，</w:t>
      </w:r>
      <w:r>
        <w:rPr>
          <w:rFonts w:hint="eastAsia" w:eastAsia="仿宋_GB2312"/>
          <w:color w:val="auto"/>
          <w:sz w:val="32"/>
          <w:szCs w:val="32"/>
          <w:highlight w:val="none"/>
          <w:lang w:val="en-US" w:eastAsia="zh-CN"/>
        </w:rPr>
        <w:t>部分</w:t>
      </w:r>
      <w:r>
        <w:rPr>
          <w:rFonts w:hint="eastAsia" w:eastAsia="仿宋_GB2312"/>
          <w:color w:val="auto"/>
          <w:sz w:val="32"/>
          <w:szCs w:val="32"/>
          <w:highlight w:val="none"/>
        </w:rPr>
        <w:t>项目资金使用效率不高，未完全发挥财政资金使用效益。如：落实重大战略和重大事项</w:t>
      </w:r>
      <w:r>
        <w:rPr>
          <w:rFonts w:hint="eastAsia" w:eastAsia="仿宋_GB2312"/>
          <w:color w:val="auto"/>
          <w:sz w:val="32"/>
          <w:szCs w:val="32"/>
          <w:highlight w:val="none"/>
          <w:lang w:val="en-US" w:eastAsia="zh-CN"/>
        </w:rPr>
        <w:t>-怀化监狱扩建工程项目2024年度专项资金共计1,160.00万元，截至2024年12月31日，暂未使用专项资金。“五好园区”建设-天易经开区轨道交通配套产业园排水管网建设项目专项资金共计380.00万元，截至2024年12月31日，实际使用专项资金100.00万元。</w:t>
      </w:r>
      <w:r>
        <w:rPr>
          <w:rFonts w:hint="eastAsia" w:eastAsia="仿宋_GB2312"/>
          <w:color w:val="auto"/>
          <w:sz w:val="32"/>
          <w:szCs w:val="32"/>
          <w:highlight w:val="none"/>
        </w:rPr>
        <w:t>项目资金使用效率不高主要是因为</w:t>
      </w:r>
      <w:r>
        <w:rPr>
          <w:rFonts w:hint="eastAsia" w:eastAsia="仿宋_GB2312"/>
          <w:color w:val="auto"/>
          <w:sz w:val="32"/>
          <w:szCs w:val="32"/>
          <w:highlight w:val="none"/>
          <w:lang w:val="en-US" w:eastAsia="zh-CN"/>
        </w:rPr>
        <w:t>部分</w:t>
      </w:r>
      <w:r>
        <w:rPr>
          <w:rFonts w:hint="eastAsia" w:eastAsia="仿宋_GB2312"/>
          <w:color w:val="auto"/>
          <w:sz w:val="32"/>
          <w:szCs w:val="32"/>
          <w:highlight w:val="none"/>
        </w:rPr>
        <w:t>项目为跨年度项目，项目仍在建设期内，而项目实施单位是根据项目实施进度</w:t>
      </w:r>
      <w:r>
        <w:rPr>
          <w:rFonts w:hint="eastAsia" w:eastAsia="仿宋_GB2312"/>
          <w:color w:val="auto"/>
          <w:sz w:val="32"/>
          <w:szCs w:val="32"/>
          <w:highlight w:val="none"/>
          <w:lang w:val="en-US" w:eastAsia="zh-CN"/>
        </w:rPr>
        <w:t>使用</w:t>
      </w:r>
      <w:r>
        <w:rPr>
          <w:rFonts w:hint="eastAsia" w:eastAsia="仿宋_GB2312"/>
          <w:color w:val="auto"/>
          <w:sz w:val="32"/>
          <w:szCs w:val="32"/>
          <w:highlight w:val="none"/>
        </w:rPr>
        <w:t>专项资金，导致</w:t>
      </w:r>
      <w:r>
        <w:rPr>
          <w:rFonts w:hint="eastAsia" w:eastAsia="仿宋_GB2312"/>
          <w:color w:val="auto"/>
          <w:sz w:val="32"/>
          <w:szCs w:val="32"/>
          <w:highlight w:val="none"/>
          <w:lang w:eastAsia="zh-CN"/>
        </w:rPr>
        <w:t>截至2024年12月31日</w:t>
      </w:r>
      <w:r>
        <w:rPr>
          <w:rFonts w:hint="eastAsia" w:eastAsia="仿宋_GB2312"/>
          <w:color w:val="auto"/>
          <w:sz w:val="32"/>
          <w:szCs w:val="32"/>
          <w:highlight w:val="none"/>
        </w:rPr>
        <w:t>专项资金未全部使用。</w:t>
      </w:r>
    </w:p>
    <w:p w14:paraId="77C30363">
      <w:p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4、个别区县</w:t>
      </w:r>
      <w:r>
        <w:rPr>
          <w:rFonts w:hint="eastAsia" w:eastAsia="仿宋_GB2312"/>
          <w:color w:val="auto"/>
          <w:sz w:val="32"/>
          <w:szCs w:val="32"/>
          <w:highlight w:val="none"/>
        </w:rPr>
        <w:t>转发下达投资计划</w:t>
      </w:r>
      <w:r>
        <w:rPr>
          <w:rFonts w:hint="eastAsia" w:eastAsia="仿宋_GB2312"/>
          <w:color w:val="auto"/>
          <w:sz w:val="32"/>
          <w:szCs w:val="32"/>
          <w:highlight w:val="none"/>
          <w:lang w:val="en-US" w:eastAsia="zh-CN"/>
        </w:rPr>
        <w:t>时间稍晚</w:t>
      </w:r>
    </w:p>
    <w:p w14:paraId="40F0D0CD">
      <w:p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根据项目单位自评情况来看，个别区县</w:t>
      </w:r>
      <w:r>
        <w:rPr>
          <w:rFonts w:hint="eastAsia" w:eastAsia="仿宋_GB2312"/>
          <w:color w:val="auto"/>
          <w:sz w:val="32"/>
          <w:szCs w:val="32"/>
          <w:highlight w:val="none"/>
        </w:rPr>
        <w:t>转发下达投资计划</w:t>
      </w:r>
      <w:r>
        <w:rPr>
          <w:rFonts w:hint="eastAsia" w:eastAsia="仿宋_GB2312"/>
          <w:color w:val="auto"/>
          <w:sz w:val="32"/>
          <w:szCs w:val="32"/>
          <w:highlight w:val="none"/>
          <w:lang w:val="en-US" w:eastAsia="zh-CN"/>
        </w:rPr>
        <w:t>时间稍晚</w:t>
      </w:r>
      <w:r>
        <w:rPr>
          <w:rFonts w:hint="eastAsia" w:ascii="Times New Roman" w:hAnsi="Times New Roman" w:eastAsia="仿宋_GB2312" w:cs="Times New Roman"/>
          <w:color w:val="auto"/>
          <w:sz w:val="32"/>
          <w:szCs w:val="32"/>
          <w:highlight w:val="none"/>
          <w:lang w:val="en-US" w:eastAsia="zh-CN"/>
        </w:rPr>
        <w:t>。如：</w:t>
      </w:r>
      <w:r>
        <w:rPr>
          <w:rFonts w:hint="eastAsia" w:eastAsia="仿宋_GB2312"/>
          <w:color w:val="auto"/>
          <w:sz w:val="32"/>
          <w:szCs w:val="32"/>
          <w:highlight w:val="none"/>
          <w:lang w:val="en-US" w:eastAsia="zh-CN"/>
        </w:rPr>
        <w:t>以县城为重要载体的城镇化试点支持项目要求投资计划下达时间为5个工作日之内转发下达，《怀化市发展和改革委员会关于转发下达2024年省预算内基本建设投资以县城为重要载体的城镇化试点建设投资计划的通知》（怀发改规划〔2024〕1号）时间为2024年9月29日，《辰溪县发改局关于转发下达2024年省预算内基本建设投资以县城为重要载体的城镇化试点建设投资计划的通知》（辰发改综〔2024〕5号）时间为2024年11月5日，</w:t>
      </w:r>
      <w:r>
        <w:rPr>
          <w:rFonts w:hint="eastAsia" w:eastAsia="仿宋_GB2312"/>
          <w:color w:val="auto"/>
          <w:sz w:val="32"/>
          <w:szCs w:val="32"/>
          <w:highlight w:val="none"/>
        </w:rPr>
        <w:t>未在5日内转发下达投资计划。</w:t>
      </w:r>
    </w:p>
    <w:p w14:paraId="3A21D63B">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5、部分</w:t>
      </w:r>
      <w:r>
        <w:rPr>
          <w:rFonts w:hint="eastAsia" w:eastAsia="仿宋_GB2312"/>
          <w:color w:val="auto"/>
          <w:sz w:val="32"/>
          <w:szCs w:val="32"/>
          <w:highlight w:val="none"/>
        </w:rPr>
        <w:t>项目建设进度</w:t>
      </w:r>
      <w:r>
        <w:rPr>
          <w:rFonts w:hint="eastAsia" w:eastAsia="仿宋_GB2312"/>
          <w:color w:val="auto"/>
          <w:sz w:val="32"/>
          <w:szCs w:val="32"/>
          <w:highlight w:val="none"/>
          <w:lang w:val="en-US" w:eastAsia="zh-CN"/>
        </w:rPr>
        <w:t>滞后</w:t>
      </w:r>
    </w:p>
    <w:p w14:paraId="05E64A6D">
      <w:p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根据项目单位自评情况来看，部分</w:t>
      </w:r>
      <w:r>
        <w:rPr>
          <w:rFonts w:hint="eastAsia" w:eastAsia="仿宋_GB2312"/>
          <w:color w:val="auto"/>
          <w:sz w:val="32"/>
          <w:szCs w:val="32"/>
          <w:highlight w:val="none"/>
        </w:rPr>
        <w:t>项目建设进度</w:t>
      </w:r>
      <w:r>
        <w:rPr>
          <w:rFonts w:hint="eastAsia" w:eastAsia="仿宋_GB2312"/>
          <w:color w:val="auto"/>
          <w:sz w:val="32"/>
          <w:szCs w:val="32"/>
          <w:highlight w:val="none"/>
          <w:lang w:val="en-US" w:eastAsia="zh-CN"/>
        </w:rPr>
        <w:t>滞后。如：落实重大战略和重大事项-中南大学湘雅医院国家医学中心项目尚未获得国家发展改革委批复，暂无法推动工程建设。落实重大战略和重大事项-省监狱建设项目大多为原址改扩建项目，普遍存在边押犯边施工的情况，施工作业受监管改造、武警兵力部署审批等因素制约较大，实际施工进程与年初进度计划存在偏差，实际施工进度有所滞后。</w:t>
      </w:r>
    </w:p>
    <w:bookmarkEnd w:id="103"/>
    <w:p w14:paraId="7BE98069">
      <w:pPr>
        <w:spacing w:line="600" w:lineRule="exact"/>
        <w:ind w:firstLine="643" w:firstLineChars="200"/>
        <w:outlineLvl w:val="0"/>
        <w:rPr>
          <w:rFonts w:eastAsia="黑体"/>
          <w:b/>
          <w:bCs/>
          <w:color w:val="auto"/>
          <w:sz w:val="32"/>
          <w:szCs w:val="32"/>
          <w:highlight w:val="none"/>
        </w:rPr>
      </w:pPr>
      <w:bookmarkStart w:id="104" w:name="_Toc10797_WPSOffice_Level1"/>
      <w:bookmarkStart w:id="105" w:name="_Toc23161"/>
      <w:bookmarkStart w:id="106" w:name="_Toc12053"/>
      <w:r>
        <w:rPr>
          <w:rFonts w:hint="eastAsia" w:eastAsia="黑体"/>
          <w:b/>
          <w:bCs/>
          <w:color w:val="auto"/>
          <w:sz w:val="32"/>
          <w:szCs w:val="32"/>
          <w:highlight w:val="none"/>
        </w:rPr>
        <w:t>六、有关建议</w:t>
      </w:r>
      <w:bookmarkEnd w:id="104"/>
      <w:bookmarkEnd w:id="105"/>
      <w:bookmarkEnd w:id="106"/>
    </w:p>
    <w:p w14:paraId="5E1C8D9C">
      <w:pPr>
        <w:spacing w:line="600" w:lineRule="exact"/>
        <w:ind w:firstLine="643" w:firstLineChars="200"/>
        <w:outlineLvl w:val="1"/>
        <w:rPr>
          <w:rFonts w:hint="eastAsia" w:eastAsia="楷体_GB2312"/>
          <w:b/>
          <w:color w:val="auto"/>
          <w:sz w:val="32"/>
          <w:szCs w:val="32"/>
          <w:highlight w:val="none"/>
          <w:lang w:val="en-US" w:eastAsia="zh-CN"/>
        </w:rPr>
      </w:pPr>
      <w:bookmarkStart w:id="107" w:name="_Toc1833"/>
      <w:bookmarkStart w:id="108" w:name="_Toc21895_WPSOffice_Level2"/>
      <w:bookmarkStart w:id="109" w:name="_Toc17004"/>
      <w:r>
        <w:rPr>
          <w:rFonts w:hint="eastAsia" w:eastAsia="楷体_GB2312"/>
          <w:b/>
          <w:color w:val="auto"/>
          <w:sz w:val="32"/>
          <w:szCs w:val="32"/>
          <w:highlight w:val="none"/>
          <w:lang w:val="en-US" w:eastAsia="zh-CN"/>
        </w:rPr>
        <w:t>（一）提高预算执行率</w:t>
      </w:r>
      <w:bookmarkEnd w:id="107"/>
    </w:p>
    <w:p w14:paraId="7FC1F995">
      <w:p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一是制定动态调整预算机制，对于跨年度项目，建立年度预算滚动调整机制，根据项目实际进度分阶段拨付资金，避免资金闲置。同时，要求项目单位定期上报进度，作为预算调整的依据。二是优化项目前期流程，联合多部门成立项目前期工作专班，简化审批环节，压缩项目实施周期及前期准备时间。针对复杂项目，提前介入开展可行性研究和设计，为项目顺利推进奠定基础，加快经费使用进度。</w:t>
      </w:r>
    </w:p>
    <w:p w14:paraId="75D85E8F">
      <w:pPr>
        <w:spacing w:line="600" w:lineRule="exact"/>
        <w:ind w:firstLine="643" w:firstLineChars="200"/>
        <w:outlineLvl w:val="1"/>
        <w:rPr>
          <w:rFonts w:hint="eastAsia" w:eastAsia="楷体_GB2312"/>
          <w:b/>
          <w:color w:val="auto"/>
          <w:sz w:val="32"/>
          <w:szCs w:val="32"/>
          <w:highlight w:val="none"/>
          <w:lang w:val="en-US" w:eastAsia="zh-CN"/>
        </w:rPr>
      </w:pPr>
      <w:bookmarkStart w:id="110" w:name="_Toc11601"/>
      <w:r>
        <w:rPr>
          <w:rFonts w:hint="eastAsia" w:eastAsia="楷体_GB2312"/>
          <w:b/>
          <w:color w:val="auto"/>
          <w:sz w:val="32"/>
          <w:szCs w:val="32"/>
          <w:highlight w:val="none"/>
          <w:lang w:val="en-US" w:eastAsia="zh-CN"/>
        </w:rPr>
        <w:t>（二）加快资金拨付进度</w:t>
      </w:r>
      <w:bookmarkEnd w:id="110"/>
    </w:p>
    <w:p w14:paraId="18EC3B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olor w:val="auto"/>
          <w:sz w:val="32"/>
          <w:szCs w:val="32"/>
          <w:highlight w:val="none"/>
          <w:lang w:val="en-US" w:eastAsia="zh-CN"/>
        </w:rPr>
      </w:pPr>
      <w:bookmarkStart w:id="111" w:name="_Toc23997"/>
      <w:bookmarkStart w:id="112" w:name="_Toc15022"/>
      <w:bookmarkStart w:id="113" w:name="_Toc25398"/>
      <w:r>
        <w:rPr>
          <w:rFonts w:hint="eastAsia" w:eastAsia="仿宋_GB2312"/>
          <w:color w:val="auto"/>
          <w:sz w:val="32"/>
          <w:szCs w:val="32"/>
          <w:highlight w:val="none"/>
          <w:lang w:val="en-US" w:eastAsia="zh-CN"/>
        </w:rPr>
        <w:t>部分项目专项资金拨付时间较晚或暂未拨付至项目实施单位，专项资金长时期滞留在各县市区财政账户，未能及时发挥专项资金引导和带动效益。建议加强对省级专项资金的监管，加快专项资金拨付进度，确保最大程度地发挥专项资金的引导带动作用，发挥专项资金的时效。</w:t>
      </w:r>
      <w:bookmarkEnd w:id="111"/>
      <w:bookmarkEnd w:id="112"/>
      <w:bookmarkEnd w:id="113"/>
    </w:p>
    <w:p w14:paraId="5143CC6A">
      <w:pPr>
        <w:spacing w:line="600" w:lineRule="exact"/>
        <w:ind w:firstLine="643" w:firstLineChars="200"/>
        <w:outlineLvl w:val="1"/>
        <w:rPr>
          <w:rFonts w:hint="eastAsia" w:eastAsia="楷体_GB2312"/>
          <w:b/>
          <w:color w:val="auto"/>
          <w:sz w:val="32"/>
          <w:szCs w:val="32"/>
          <w:highlight w:val="none"/>
          <w:lang w:val="en-US" w:eastAsia="zh-CN"/>
        </w:rPr>
      </w:pPr>
      <w:bookmarkStart w:id="114" w:name="_Toc5597"/>
      <w:r>
        <w:rPr>
          <w:rFonts w:hint="eastAsia" w:eastAsia="楷体_GB2312"/>
          <w:b/>
          <w:color w:val="auto"/>
          <w:sz w:val="32"/>
          <w:szCs w:val="32"/>
          <w:highlight w:val="none"/>
          <w:lang w:val="en-US" w:eastAsia="zh-CN"/>
        </w:rPr>
        <w:t>（三）提升专项资金使用效率</w:t>
      </w:r>
      <w:bookmarkEnd w:id="114"/>
    </w:p>
    <w:p w14:paraId="1C07E151">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强化项目进度管控，针对跨年度项目，制定详细的项目进度计划，并分解到季度、月度。建立项目进度跟踪台账，定期检查项目进展情况，对进度滞后的项目及时督促整改，确保资金按计划使用。</w:t>
      </w:r>
    </w:p>
    <w:p w14:paraId="11216C8C">
      <w:pPr>
        <w:spacing w:line="600" w:lineRule="exact"/>
        <w:ind w:firstLine="643" w:firstLineChars="200"/>
        <w:outlineLvl w:val="1"/>
        <w:rPr>
          <w:rFonts w:hint="eastAsia" w:eastAsia="楷体_GB2312"/>
          <w:b/>
          <w:color w:val="auto"/>
          <w:sz w:val="32"/>
          <w:szCs w:val="32"/>
          <w:highlight w:val="none"/>
          <w:lang w:val="en-US" w:eastAsia="zh-CN"/>
        </w:rPr>
      </w:pPr>
      <w:bookmarkStart w:id="115" w:name="_Toc22685"/>
      <w:r>
        <w:rPr>
          <w:rFonts w:hint="eastAsia" w:eastAsia="楷体_GB2312"/>
          <w:b/>
          <w:color w:val="auto"/>
          <w:sz w:val="32"/>
          <w:szCs w:val="32"/>
          <w:highlight w:val="none"/>
          <w:lang w:val="en-US" w:eastAsia="zh-CN"/>
        </w:rPr>
        <w:t>（四）规范投资计划下达时间</w:t>
      </w:r>
      <w:bookmarkEnd w:id="115"/>
    </w:p>
    <w:p w14:paraId="2F8E4C45">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进一步明确区县转发下达投资计划的责任主体和工作要求，上级发改部门定期对区县投资计划下达情况进行督查，及时发现问题并督促整改，确保投资计划及时有效传达。</w:t>
      </w:r>
    </w:p>
    <w:p w14:paraId="4B4206D9">
      <w:pPr>
        <w:spacing w:line="600" w:lineRule="exact"/>
        <w:ind w:firstLine="643" w:firstLineChars="200"/>
        <w:outlineLvl w:val="1"/>
        <w:rPr>
          <w:rFonts w:hint="eastAsia" w:eastAsia="楷体_GB2312"/>
          <w:b/>
          <w:color w:val="auto"/>
          <w:sz w:val="32"/>
          <w:szCs w:val="32"/>
          <w:highlight w:val="none"/>
          <w:lang w:val="en-US" w:eastAsia="zh-CN"/>
        </w:rPr>
      </w:pPr>
      <w:bookmarkStart w:id="116" w:name="_Toc13031"/>
      <w:r>
        <w:rPr>
          <w:rFonts w:hint="eastAsia" w:eastAsia="楷体_GB2312"/>
          <w:b/>
          <w:color w:val="auto"/>
          <w:sz w:val="32"/>
          <w:szCs w:val="32"/>
          <w:highlight w:val="none"/>
          <w:lang w:val="en-US" w:eastAsia="zh-CN"/>
        </w:rPr>
        <w:t>（五）加强项目进度管理，确保项目按期产出</w:t>
      </w:r>
      <w:bookmarkEnd w:id="116"/>
    </w:p>
    <w:p w14:paraId="62691248">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各级发改部门、财政部门应加强对项目实施单位的日常监管，强化项目报表的上报，一方面让项目实施单位清晰了解项目现状，增强项目推进的紧迫感；另一方面便于项目主管部门和相关单位及时了解项目实施进度、资金使用情况和项目绩效目标完成情况。针对跨年项目实施滚动管理，进行全过程考核，直至项目整体完成。</w:t>
      </w:r>
      <w:r>
        <w:rPr>
          <w:rFonts w:hint="eastAsia" w:ascii="Times New Roman" w:hAnsi="Times New Roman" w:eastAsia="仿宋_GB2312" w:cs="Times New Roman"/>
          <w:color w:val="auto"/>
          <w:sz w:val="32"/>
          <w:szCs w:val="32"/>
          <w:highlight w:val="none"/>
          <w:lang w:val="en-US" w:eastAsia="zh-CN"/>
        </w:rPr>
        <w:t>对于项目实施期需要延长的情况，项目实施单位应及时与主管部门汇报项目进度，申请延期完工，主管部门应积极督促项目实施单位如期完成项目</w:t>
      </w:r>
      <w:r>
        <w:rPr>
          <w:rFonts w:hint="eastAsia" w:eastAsia="仿宋_GB2312"/>
          <w:color w:val="auto"/>
          <w:sz w:val="32"/>
          <w:szCs w:val="32"/>
          <w:highlight w:val="none"/>
          <w:lang w:val="en-US" w:eastAsia="zh-CN"/>
        </w:rPr>
        <w:t>。同时建立对跨期实施项目中长期的绩效评价机制，与下年的投入项目一起上报，纳入下一个年度的绩效考评，且进行重点考评，直到该项目实施完成。</w:t>
      </w:r>
    </w:p>
    <w:bookmarkEnd w:id="108"/>
    <w:bookmarkEnd w:id="109"/>
    <w:p w14:paraId="35305269">
      <w:pPr>
        <w:spacing w:line="600" w:lineRule="exact"/>
        <w:ind w:firstLine="643" w:firstLineChars="200"/>
        <w:outlineLvl w:val="0"/>
        <w:rPr>
          <w:rFonts w:eastAsia="黑体"/>
          <w:b/>
          <w:bCs/>
          <w:color w:val="auto"/>
          <w:sz w:val="32"/>
          <w:szCs w:val="32"/>
          <w:highlight w:val="none"/>
        </w:rPr>
      </w:pPr>
      <w:bookmarkStart w:id="117" w:name="_Toc22691_WPSOffice_Level1"/>
      <w:bookmarkStart w:id="118" w:name="_Toc13660"/>
      <w:bookmarkStart w:id="119" w:name="_Toc792"/>
      <w:r>
        <w:rPr>
          <w:rFonts w:hint="eastAsia" w:eastAsia="黑体"/>
          <w:b/>
          <w:bCs/>
          <w:color w:val="auto"/>
          <w:sz w:val="32"/>
          <w:szCs w:val="32"/>
          <w:highlight w:val="none"/>
        </w:rPr>
        <w:t>七</w:t>
      </w:r>
      <w:r>
        <w:rPr>
          <w:rFonts w:eastAsia="黑体"/>
          <w:b/>
          <w:bCs/>
          <w:color w:val="auto"/>
          <w:sz w:val="32"/>
          <w:szCs w:val="32"/>
          <w:highlight w:val="none"/>
        </w:rPr>
        <w:t>、其他需要说明的问</w:t>
      </w:r>
      <w:r>
        <w:rPr>
          <w:rFonts w:hint="eastAsia" w:eastAsia="黑体"/>
          <w:b/>
          <w:bCs/>
          <w:color w:val="auto"/>
          <w:sz w:val="32"/>
          <w:szCs w:val="32"/>
          <w:highlight w:val="none"/>
        </w:rPr>
        <w:t>题</w:t>
      </w:r>
      <w:bookmarkEnd w:id="117"/>
      <w:bookmarkEnd w:id="118"/>
      <w:bookmarkEnd w:id="119"/>
    </w:p>
    <w:p w14:paraId="0F179C1E">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无。</w:t>
      </w:r>
    </w:p>
    <w:p w14:paraId="28BD1DD8">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olor w:val="auto"/>
          <w:sz w:val="32"/>
          <w:szCs w:val="32"/>
          <w:highlight w:val="none"/>
        </w:rPr>
      </w:pPr>
      <w:bookmarkStart w:id="120" w:name="_Toc26822_WPSOffice_Level1"/>
      <w:bookmarkStart w:id="121" w:name="_Toc29098"/>
    </w:p>
    <w:p w14:paraId="6461257A">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eastAsia="仿宋_GB2312"/>
          <w:color w:val="auto"/>
          <w:sz w:val="32"/>
          <w:szCs w:val="32"/>
          <w:highlight w:val="none"/>
        </w:rPr>
      </w:pPr>
      <w:r>
        <w:rPr>
          <w:rFonts w:hint="eastAsia" w:eastAsia="仿宋_GB2312"/>
          <w:color w:val="auto"/>
          <w:sz w:val="32"/>
          <w:szCs w:val="32"/>
          <w:highlight w:val="none"/>
        </w:rPr>
        <w:t>附件</w:t>
      </w:r>
      <w:r>
        <w:rPr>
          <w:rFonts w:eastAsia="仿宋_GB2312"/>
          <w:color w:val="auto"/>
          <w:sz w:val="32"/>
          <w:szCs w:val="32"/>
          <w:highlight w:val="none"/>
        </w:rPr>
        <w:t>1</w:t>
      </w:r>
      <w:r>
        <w:rPr>
          <w:rFonts w:hint="eastAsia" w:eastAsia="仿宋_GB2312"/>
          <w:color w:val="auto"/>
          <w:sz w:val="32"/>
          <w:szCs w:val="32"/>
          <w:highlight w:val="none"/>
          <w:lang w:eastAsia="zh-CN"/>
        </w:rPr>
        <w:t>:</w:t>
      </w:r>
      <w:bookmarkEnd w:id="120"/>
      <w:bookmarkEnd w:id="121"/>
      <w:r>
        <w:rPr>
          <w:rFonts w:hint="eastAsia" w:eastAsia="仿宋_GB2312"/>
          <w:color w:val="auto"/>
          <w:sz w:val="32"/>
          <w:szCs w:val="32"/>
          <w:highlight w:val="none"/>
          <w:lang w:eastAsia="zh-CN"/>
        </w:rPr>
        <w:t>2024年度省预算内基本建设专项资金</w:t>
      </w:r>
      <w:r>
        <w:rPr>
          <w:rFonts w:hint="eastAsia" w:eastAsia="仿宋_GB2312"/>
          <w:color w:val="auto"/>
          <w:sz w:val="32"/>
          <w:szCs w:val="32"/>
          <w:highlight w:val="none"/>
        </w:rPr>
        <w:t>绩效评价</w:t>
      </w:r>
    </w:p>
    <w:p w14:paraId="2735357A">
      <w:pPr>
        <w:keepNext w:val="0"/>
        <w:keepLines w:val="0"/>
        <w:pageBreakBefore w:val="0"/>
        <w:kinsoku/>
        <w:wordWrap/>
        <w:overflowPunct/>
        <w:topLinePunct w:val="0"/>
        <w:autoSpaceDE/>
        <w:autoSpaceDN/>
        <w:bidi w:val="0"/>
        <w:adjustRightInd/>
        <w:snapToGrid/>
        <w:spacing w:line="600" w:lineRule="exact"/>
        <w:ind w:left="1892" w:leftChars="901" w:firstLine="6"/>
        <w:textAlignment w:val="auto"/>
        <w:outlineLvl w:val="9"/>
        <w:rPr>
          <w:rFonts w:eastAsia="仿宋_GB2312"/>
          <w:color w:val="auto"/>
          <w:sz w:val="32"/>
          <w:szCs w:val="32"/>
          <w:highlight w:val="none"/>
        </w:rPr>
      </w:pPr>
      <w:r>
        <w:rPr>
          <w:rFonts w:hint="eastAsia" w:eastAsia="仿宋_GB2312"/>
          <w:color w:val="auto"/>
          <w:sz w:val="32"/>
          <w:szCs w:val="32"/>
          <w:highlight w:val="none"/>
        </w:rPr>
        <w:t>基础数据表</w:t>
      </w:r>
    </w:p>
    <w:p w14:paraId="79A483D1">
      <w:pPr>
        <w:keepNext w:val="0"/>
        <w:keepLines w:val="0"/>
        <w:pageBreakBefore w:val="0"/>
        <w:kinsoku/>
        <w:wordWrap/>
        <w:overflowPunct/>
        <w:topLinePunct w:val="0"/>
        <w:autoSpaceDE/>
        <w:autoSpaceDN/>
        <w:bidi w:val="0"/>
        <w:adjustRightInd/>
        <w:snapToGrid/>
        <w:spacing w:line="600" w:lineRule="exact"/>
        <w:ind w:left="1918" w:leftChars="304" w:hanging="1280" w:hangingChars="400"/>
        <w:textAlignment w:val="auto"/>
        <w:outlineLvl w:val="9"/>
        <w:rPr>
          <w:rFonts w:eastAsia="仿宋_GB2312"/>
          <w:color w:val="auto"/>
          <w:sz w:val="32"/>
          <w:szCs w:val="32"/>
          <w:highlight w:val="none"/>
        </w:rPr>
      </w:pPr>
      <w:bookmarkStart w:id="122" w:name="_Toc27514_WPSOffice_Level1"/>
      <w:bookmarkStart w:id="123" w:name="_Toc13735"/>
      <w:r>
        <w:rPr>
          <w:rFonts w:hint="eastAsia" w:eastAsia="仿宋_GB2312"/>
          <w:color w:val="auto"/>
          <w:sz w:val="32"/>
          <w:szCs w:val="32"/>
          <w:highlight w:val="none"/>
        </w:rPr>
        <w:t>附件</w:t>
      </w:r>
      <w:r>
        <w:rPr>
          <w:rFonts w:eastAsia="仿宋_GB2312"/>
          <w:color w:val="auto"/>
          <w:sz w:val="32"/>
          <w:szCs w:val="32"/>
          <w:highlight w:val="none"/>
        </w:rPr>
        <w:t>2</w:t>
      </w:r>
      <w:r>
        <w:rPr>
          <w:rFonts w:hint="eastAsia" w:eastAsia="仿宋_GB2312"/>
          <w:color w:val="auto"/>
          <w:sz w:val="32"/>
          <w:szCs w:val="32"/>
          <w:highlight w:val="none"/>
          <w:lang w:eastAsia="zh-CN"/>
        </w:rPr>
        <w:t>:</w:t>
      </w:r>
      <w:bookmarkEnd w:id="122"/>
      <w:bookmarkEnd w:id="123"/>
      <w:r>
        <w:rPr>
          <w:rFonts w:hint="eastAsia" w:eastAsia="仿宋_GB2312"/>
          <w:color w:val="auto"/>
          <w:sz w:val="32"/>
          <w:szCs w:val="32"/>
          <w:highlight w:val="none"/>
        </w:rPr>
        <w:t>2024年度预算内基本建设投资省级专项资金绩效自评表</w:t>
      </w:r>
    </w:p>
    <w:p w14:paraId="1AC4BF86">
      <w:pPr>
        <w:keepNext w:val="0"/>
        <w:keepLines w:val="0"/>
        <w:pageBreakBefore w:val="0"/>
        <w:widowControl/>
        <w:kinsoku/>
        <w:wordWrap/>
        <w:overflowPunct/>
        <w:topLinePunct w:val="0"/>
        <w:autoSpaceDE/>
        <w:autoSpaceDN/>
        <w:bidi w:val="0"/>
        <w:adjustRightInd/>
        <w:snapToGrid/>
        <w:jc w:val="left"/>
        <w:textAlignment w:val="auto"/>
        <w:outlineLvl w:val="1"/>
        <w:rPr>
          <w:rFonts w:eastAsia="仿宋_GB2312"/>
          <w:color w:val="auto"/>
          <w:szCs w:val="32"/>
          <w:highlight w:val="none"/>
        </w:rPr>
      </w:pPr>
      <w:r>
        <w:rPr>
          <w:rFonts w:eastAsia="仿宋_GB2312"/>
          <w:color w:val="auto"/>
          <w:sz w:val="32"/>
          <w:szCs w:val="32"/>
          <w:highlight w:val="none"/>
        </w:rPr>
        <w:br w:type="page"/>
      </w:r>
      <w:bookmarkStart w:id="124" w:name="_Toc20275"/>
      <w:r>
        <w:rPr>
          <w:rFonts w:hint="eastAsia" w:eastAsia="仿宋_GB2312"/>
          <w:color w:val="auto"/>
          <w:sz w:val="32"/>
          <w:szCs w:val="32"/>
          <w:highlight w:val="none"/>
        </w:rPr>
        <w:t>附件</w:t>
      </w:r>
      <w:r>
        <w:rPr>
          <w:rFonts w:hint="default" w:eastAsia="仿宋_GB2312"/>
          <w:color w:val="auto"/>
          <w:sz w:val="32"/>
          <w:szCs w:val="32"/>
          <w:highlight w:val="none"/>
        </w:rPr>
        <w:t>1</w:t>
      </w:r>
      <w:bookmarkEnd w:id="124"/>
    </w:p>
    <w:p w14:paraId="52CFB8C1">
      <w:pPr>
        <w:jc w:val="center"/>
        <w:rPr>
          <w:rFonts w:hint="default" w:ascii="Times New Roman" w:hAnsi="Times New Roman" w:eastAsia="仿宋_GB2312" w:cs="Times New Roman"/>
          <w:color w:val="auto"/>
          <w:szCs w:val="32"/>
          <w:highlight w:val="none"/>
        </w:rPr>
      </w:pPr>
    </w:p>
    <w:p w14:paraId="4B3882EA">
      <w:pPr>
        <w:jc w:val="center"/>
        <w:rPr>
          <w:rFonts w:hint="default" w:eastAsia="方正小标宋_GBK"/>
          <w:color w:val="auto"/>
          <w:sz w:val="42"/>
          <w:szCs w:val="42"/>
          <w:highlight w:val="none"/>
        </w:rPr>
      </w:pPr>
      <w:r>
        <w:rPr>
          <w:rFonts w:hint="default" w:eastAsia="方正小标宋_GBK"/>
          <w:color w:val="auto"/>
          <w:sz w:val="42"/>
          <w:szCs w:val="42"/>
          <w:highlight w:val="none"/>
        </w:rPr>
        <w:t>2024年度省预算内基本建设</w:t>
      </w:r>
      <w:r>
        <w:rPr>
          <w:rFonts w:eastAsia="方正小标宋_GBK"/>
          <w:color w:val="auto"/>
          <w:sz w:val="42"/>
          <w:szCs w:val="42"/>
          <w:highlight w:val="none"/>
        </w:rPr>
        <w:t>专项资金绩效评价</w:t>
      </w:r>
    </w:p>
    <w:p w14:paraId="66B267C3">
      <w:pPr>
        <w:jc w:val="center"/>
        <w:rPr>
          <w:rFonts w:eastAsia="方正小标宋_GBK"/>
          <w:color w:val="auto"/>
          <w:sz w:val="42"/>
          <w:szCs w:val="42"/>
          <w:highlight w:val="none"/>
        </w:rPr>
      </w:pPr>
      <w:r>
        <w:rPr>
          <w:rFonts w:eastAsia="方正小标宋_GBK"/>
          <w:color w:val="auto"/>
          <w:sz w:val="42"/>
          <w:szCs w:val="42"/>
          <w:highlight w:val="none"/>
        </w:rPr>
        <w:t>基础数据表</w:t>
      </w:r>
    </w:p>
    <w:p w14:paraId="207CA23A">
      <w:pPr>
        <w:jc w:val="right"/>
        <w:rPr>
          <w:rFonts w:eastAsia="宋体"/>
          <w:color w:val="auto"/>
          <w:sz w:val="21"/>
          <w:szCs w:val="21"/>
          <w:highlight w:val="none"/>
        </w:rPr>
      </w:pPr>
      <w:r>
        <w:rPr>
          <w:rFonts w:eastAsia="宋体"/>
          <w:color w:val="auto"/>
          <w:szCs w:val="32"/>
          <w:highlight w:val="none"/>
        </w:rPr>
        <w:t xml:space="preserve">                        </w:t>
      </w:r>
      <w:r>
        <w:rPr>
          <w:rFonts w:eastAsia="宋体"/>
          <w:color w:val="auto"/>
          <w:sz w:val="21"/>
          <w:szCs w:val="21"/>
          <w:highlight w:val="none"/>
        </w:rPr>
        <w:t xml:space="preserve">   单位：万元</w:t>
      </w:r>
    </w:p>
    <w:tbl>
      <w:tblPr>
        <w:tblStyle w:val="20"/>
        <w:tblW w:w="9205" w:type="dxa"/>
        <w:jc w:val="center"/>
        <w:tblLayout w:type="fixed"/>
        <w:tblCellMar>
          <w:top w:w="0" w:type="dxa"/>
          <w:left w:w="108" w:type="dxa"/>
          <w:bottom w:w="0" w:type="dxa"/>
          <w:right w:w="108" w:type="dxa"/>
        </w:tblCellMar>
      </w:tblPr>
      <w:tblGrid>
        <w:gridCol w:w="794"/>
        <w:gridCol w:w="4426"/>
        <w:gridCol w:w="1165"/>
        <w:gridCol w:w="1544"/>
        <w:gridCol w:w="1276"/>
      </w:tblGrid>
      <w:tr w14:paraId="39F7AC42">
        <w:tblPrEx>
          <w:tblCellMar>
            <w:top w:w="0" w:type="dxa"/>
            <w:left w:w="108" w:type="dxa"/>
            <w:bottom w:w="0" w:type="dxa"/>
            <w:right w:w="108" w:type="dxa"/>
          </w:tblCellMar>
        </w:tblPrEx>
        <w:trPr>
          <w:trHeight w:val="407" w:hRule="atLeast"/>
          <w:tblHeade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4466C4A5">
            <w:pPr>
              <w:widowControl/>
              <w:jc w:val="center"/>
              <w:textAlignment w:val="center"/>
              <w:rPr>
                <w:rFonts w:eastAsia="黑体"/>
                <w:color w:val="auto"/>
                <w:sz w:val="21"/>
                <w:szCs w:val="21"/>
                <w:highlight w:val="none"/>
              </w:rPr>
            </w:pPr>
            <w:r>
              <w:rPr>
                <w:rFonts w:eastAsia="黑体"/>
                <w:color w:val="auto"/>
                <w:kern w:val="0"/>
                <w:sz w:val="21"/>
                <w:szCs w:val="21"/>
                <w:highlight w:val="none"/>
                <w:lang w:bidi="ar"/>
              </w:rPr>
              <w:t>序号</w:t>
            </w:r>
          </w:p>
        </w:tc>
        <w:tc>
          <w:tcPr>
            <w:tcW w:w="4426" w:type="dxa"/>
            <w:tcBorders>
              <w:top w:val="single" w:color="000000" w:sz="8" w:space="0"/>
              <w:left w:val="single" w:color="000000" w:sz="8" w:space="0"/>
              <w:bottom w:val="single" w:color="000000" w:sz="8" w:space="0"/>
              <w:right w:val="single" w:color="000000" w:sz="8" w:space="0"/>
            </w:tcBorders>
            <w:noWrap w:val="0"/>
            <w:vAlign w:val="center"/>
          </w:tcPr>
          <w:p w14:paraId="7B2A83F0">
            <w:pPr>
              <w:widowControl/>
              <w:jc w:val="center"/>
              <w:textAlignment w:val="center"/>
              <w:rPr>
                <w:rFonts w:eastAsia="黑体"/>
                <w:color w:val="auto"/>
                <w:sz w:val="21"/>
                <w:szCs w:val="21"/>
                <w:highlight w:val="none"/>
              </w:rPr>
            </w:pPr>
            <w:r>
              <w:rPr>
                <w:rFonts w:eastAsia="黑体"/>
                <w:color w:val="auto"/>
                <w:kern w:val="0"/>
                <w:sz w:val="21"/>
                <w:szCs w:val="21"/>
                <w:highlight w:val="none"/>
                <w:lang w:bidi="ar"/>
              </w:rPr>
              <w:t>指标名称</w:t>
            </w:r>
          </w:p>
        </w:tc>
        <w:tc>
          <w:tcPr>
            <w:tcW w:w="1165" w:type="dxa"/>
            <w:tcBorders>
              <w:top w:val="single" w:color="000000" w:sz="8" w:space="0"/>
              <w:left w:val="single" w:color="000000" w:sz="8" w:space="0"/>
              <w:bottom w:val="single" w:color="000000" w:sz="8" w:space="0"/>
              <w:right w:val="single" w:color="000000" w:sz="8" w:space="0"/>
            </w:tcBorders>
            <w:noWrap w:val="0"/>
            <w:vAlign w:val="center"/>
          </w:tcPr>
          <w:p w14:paraId="023D7B77">
            <w:pPr>
              <w:widowControl/>
              <w:jc w:val="center"/>
              <w:textAlignment w:val="center"/>
              <w:rPr>
                <w:rFonts w:eastAsia="黑体"/>
                <w:color w:val="auto"/>
                <w:sz w:val="21"/>
                <w:szCs w:val="21"/>
                <w:highlight w:val="none"/>
              </w:rPr>
            </w:pPr>
            <w:r>
              <w:rPr>
                <w:rFonts w:eastAsia="黑体"/>
                <w:color w:val="auto"/>
                <w:kern w:val="0"/>
                <w:sz w:val="21"/>
                <w:szCs w:val="21"/>
                <w:highlight w:val="none"/>
                <w:lang w:bidi="ar"/>
              </w:rPr>
              <w:t>单位</w:t>
            </w:r>
            <w:r>
              <w:rPr>
                <w:rFonts w:hint="default" w:eastAsia="黑体"/>
                <w:color w:val="auto"/>
                <w:kern w:val="0"/>
                <w:sz w:val="21"/>
                <w:szCs w:val="21"/>
                <w:highlight w:val="none"/>
                <w:lang w:bidi="ar"/>
              </w:rPr>
              <w:t>/其他</w:t>
            </w:r>
          </w:p>
        </w:tc>
        <w:tc>
          <w:tcPr>
            <w:tcW w:w="1544" w:type="dxa"/>
            <w:tcBorders>
              <w:top w:val="single" w:color="000000" w:sz="8" w:space="0"/>
              <w:left w:val="single" w:color="000000" w:sz="8" w:space="0"/>
              <w:bottom w:val="single" w:color="000000" w:sz="8" w:space="0"/>
              <w:right w:val="single" w:color="000000" w:sz="8" w:space="0"/>
            </w:tcBorders>
            <w:noWrap w:val="0"/>
            <w:vAlign w:val="center"/>
          </w:tcPr>
          <w:p w14:paraId="2E9B66AF">
            <w:pPr>
              <w:widowControl/>
              <w:jc w:val="center"/>
              <w:textAlignment w:val="center"/>
              <w:rPr>
                <w:rFonts w:eastAsia="黑体"/>
                <w:color w:val="auto"/>
                <w:sz w:val="21"/>
                <w:szCs w:val="21"/>
                <w:highlight w:val="none"/>
              </w:rPr>
            </w:pPr>
            <w:r>
              <w:rPr>
                <w:rFonts w:eastAsia="黑体"/>
                <w:color w:val="auto"/>
                <w:kern w:val="0"/>
                <w:sz w:val="21"/>
                <w:szCs w:val="21"/>
                <w:highlight w:val="none"/>
                <w:lang w:bidi="ar"/>
              </w:rPr>
              <w:t>计划批复</w:t>
            </w:r>
          </w:p>
        </w:tc>
        <w:tc>
          <w:tcPr>
            <w:tcW w:w="1276" w:type="dxa"/>
            <w:tcBorders>
              <w:top w:val="single" w:color="000000" w:sz="8" w:space="0"/>
              <w:left w:val="single" w:color="000000" w:sz="8" w:space="0"/>
              <w:bottom w:val="single" w:color="000000" w:sz="8" w:space="0"/>
              <w:right w:val="single" w:color="000000" w:sz="8" w:space="0"/>
            </w:tcBorders>
            <w:noWrap w:val="0"/>
            <w:vAlign w:val="center"/>
          </w:tcPr>
          <w:p w14:paraId="5CA49EB6">
            <w:pPr>
              <w:widowControl/>
              <w:jc w:val="center"/>
              <w:textAlignment w:val="center"/>
              <w:rPr>
                <w:rFonts w:eastAsia="黑体"/>
                <w:color w:val="auto"/>
                <w:sz w:val="21"/>
                <w:szCs w:val="21"/>
                <w:highlight w:val="none"/>
              </w:rPr>
            </w:pPr>
            <w:r>
              <w:rPr>
                <w:rFonts w:eastAsia="黑体"/>
                <w:color w:val="auto"/>
                <w:kern w:val="0"/>
                <w:sz w:val="21"/>
                <w:szCs w:val="21"/>
                <w:highlight w:val="none"/>
                <w:lang w:bidi="ar"/>
              </w:rPr>
              <w:t>实际完成</w:t>
            </w:r>
          </w:p>
        </w:tc>
      </w:tr>
      <w:tr w14:paraId="6B7FA1B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835D987">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一</w:t>
            </w:r>
          </w:p>
        </w:tc>
        <w:tc>
          <w:tcPr>
            <w:tcW w:w="4426" w:type="dxa"/>
            <w:tcBorders>
              <w:top w:val="nil"/>
              <w:left w:val="single" w:color="000000" w:sz="8" w:space="0"/>
              <w:bottom w:val="single" w:color="000000" w:sz="8" w:space="0"/>
              <w:right w:val="single" w:color="000000" w:sz="8" w:space="0"/>
            </w:tcBorders>
            <w:noWrap w:val="0"/>
            <w:vAlign w:val="center"/>
          </w:tcPr>
          <w:p w14:paraId="17CB9641">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项目基本情况</w:t>
            </w:r>
          </w:p>
        </w:tc>
        <w:tc>
          <w:tcPr>
            <w:tcW w:w="1165" w:type="dxa"/>
            <w:tcBorders>
              <w:top w:val="nil"/>
              <w:left w:val="single" w:color="000000" w:sz="8" w:space="0"/>
              <w:bottom w:val="single" w:color="000000" w:sz="8" w:space="0"/>
              <w:right w:val="single" w:color="000000" w:sz="8" w:space="0"/>
            </w:tcBorders>
            <w:noWrap w:val="0"/>
            <w:vAlign w:val="center"/>
          </w:tcPr>
          <w:p w14:paraId="4C1E94D3">
            <w:pPr>
              <w:widowControl/>
              <w:jc w:val="center"/>
              <w:textAlignment w:val="center"/>
              <w:rPr>
                <w:rFonts w:eastAsia="宋体"/>
                <w:b/>
                <w:bCs/>
                <w:color w:val="auto"/>
                <w:kern w:val="0"/>
                <w:sz w:val="21"/>
                <w:szCs w:val="21"/>
                <w:highlight w:val="none"/>
                <w:lang w:bidi="ar"/>
              </w:rPr>
            </w:pPr>
          </w:p>
        </w:tc>
        <w:tc>
          <w:tcPr>
            <w:tcW w:w="1544" w:type="dxa"/>
            <w:tcBorders>
              <w:top w:val="nil"/>
              <w:left w:val="single" w:color="000000" w:sz="8" w:space="0"/>
              <w:bottom w:val="single" w:color="000000" w:sz="8" w:space="0"/>
              <w:right w:val="single" w:color="000000" w:sz="8" w:space="0"/>
            </w:tcBorders>
            <w:noWrap w:val="0"/>
            <w:vAlign w:val="center"/>
          </w:tcPr>
          <w:p w14:paraId="5A8AB2FD">
            <w:pPr>
              <w:jc w:val="center"/>
              <w:rPr>
                <w:rFonts w:eastAsia="宋体"/>
                <w:b/>
                <w:bCs/>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231396FE">
            <w:pPr>
              <w:jc w:val="center"/>
              <w:rPr>
                <w:rFonts w:eastAsia="宋体"/>
                <w:b/>
                <w:bCs/>
                <w:color w:val="auto"/>
                <w:sz w:val="21"/>
                <w:szCs w:val="21"/>
                <w:highlight w:val="none"/>
              </w:rPr>
            </w:pPr>
          </w:p>
        </w:tc>
      </w:tr>
      <w:tr w14:paraId="12328B9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EA8609C">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1</w:t>
            </w:r>
          </w:p>
        </w:tc>
        <w:tc>
          <w:tcPr>
            <w:tcW w:w="4426" w:type="dxa"/>
            <w:tcBorders>
              <w:top w:val="nil"/>
              <w:left w:val="single" w:color="000000" w:sz="8" w:space="0"/>
              <w:bottom w:val="single" w:color="000000" w:sz="8" w:space="0"/>
              <w:right w:val="single" w:color="000000" w:sz="8" w:space="0"/>
            </w:tcBorders>
            <w:noWrap w:val="0"/>
            <w:vAlign w:val="center"/>
          </w:tcPr>
          <w:p w14:paraId="3A6679D9">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项目个数</w:t>
            </w:r>
          </w:p>
        </w:tc>
        <w:tc>
          <w:tcPr>
            <w:tcW w:w="1165" w:type="dxa"/>
            <w:tcBorders>
              <w:top w:val="nil"/>
              <w:left w:val="single" w:color="000000" w:sz="8" w:space="0"/>
              <w:bottom w:val="single" w:color="000000" w:sz="8" w:space="0"/>
              <w:right w:val="single" w:color="000000" w:sz="8" w:space="0"/>
            </w:tcBorders>
            <w:noWrap w:val="0"/>
            <w:vAlign w:val="center"/>
          </w:tcPr>
          <w:p w14:paraId="4E6336A4">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个</w:t>
            </w:r>
          </w:p>
        </w:tc>
        <w:tc>
          <w:tcPr>
            <w:tcW w:w="1544" w:type="dxa"/>
            <w:tcBorders>
              <w:top w:val="nil"/>
              <w:left w:val="single" w:color="000000" w:sz="8" w:space="0"/>
              <w:bottom w:val="single" w:color="000000" w:sz="8" w:space="0"/>
              <w:right w:val="single" w:color="000000" w:sz="8" w:space="0"/>
            </w:tcBorders>
            <w:noWrap w:val="0"/>
            <w:vAlign w:val="center"/>
          </w:tcPr>
          <w:p w14:paraId="6325F40E">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363</w:t>
            </w:r>
          </w:p>
        </w:tc>
        <w:tc>
          <w:tcPr>
            <w:tcW w:w="1276" w:type="dxa"/>
            <w:tcBorders>
              <w:top w:val="nil"/>
              <w:left w:val="single" w:color="000000" w:sz="8" w:space="0"/>
              <w:bottom w:val="single" w:color="000000" w:sz="8" w:space="0"/>
              <w:right w:val="single" w:color="000000" w:sz="8" w:space="0"/>
            </w:tcBorders>
            <w:noWrap w:val="0"/>
            <w:vAlign w:val="center"/>
          </w:tcPr>
          <w:p w14:paraId="4BCDF704">
            <w:pPr>
              <w:jc w:val="center"/>
              <w:rPr>
                <w:rFonts w:eastAsia="宋体"/>
                <w:color w:val="auto"/>
                <w:sz w:val="21"/>
                <w:szCs w:val="21"/>
                <w:highlight w:val="none"/>
              </w:rPr>
            </w:pPr>
            <w:r>
              <w:rPr>
                <w:rFonts w:hint="eastAsia"/>
                <w:color w:val="auto"/>
                <w:sz w:val="21"/>
                <w:szCs w:val="21"/>
                <w:highlight w:val="none"/>
                <w:lang w:val="en-US" w:eastAsia="zh-CN"/>
              </w:rPr>
              <w:t>363</w:t>
            </w:r>
          </w:p>
        </w:tc>
      </w:tr>
      <w:tr w14:paraId="119E5C0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95B95C4">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2</w:t>
            </w:r>
          </w:p>
        </w:tc>
        <w:tc>
          <w:tcPr>
            <w:tcW w:w="4426" w:type="dxa"/>
            <w:tcBorders>
              <w:top w:val="nil"/>
              <w:left w:val="single" w:color="000000" w:sz="8" w:space="0"/>
              <w:bottom w:val="single" w:color="000000" w:sz="8" w:space="0"/>
              <w:right w:val="single" w:color="000000" w:sz="8" w:space="0"/>
            </w:tcBorders>
            <w:noWrap w:val="0"/>
            <w:vAlign w:val="center"/>
          </w:tcPr>
          <w:p w14:paraId="16987909">
            <w:pPr>
              <w:widowControl/>
              <w:jc w:val="center"/>
              <w:textAlignment w:val="center"/>
              <w:rPr>
                <w:rFonts w:hint="default" w:eastAsia="宋体"/>
                <w:color w:val="auto"/>
                <w:sz w:val="21"/>
                <w:szCs w:val="21"/>
                <w:highlight w:val="none"/>
              </w:rPr>
            </w:pPr>
            <w:r>
              <w:rPr>
                <w:rFonts w:eastAsia="宋体"/>
                <w:color w:val="auto"/>
                <w:kern w:val="0"/>
                <w:sz w:val="21"/>
                <w:szCs w:val="21"/>
                <w:highlight w:val="none"/>
                <w:lang w:bidi="ar"/>
              </w:rPr>
              <w:t>总投资额</w:t>
            </w:r>
            <w:r>
              <w:rPr>
                <w:rFonts w:hint="default" w:eastAsia="宋体"/>
                <w:color w:val="auto"/>
                <w:kern w:val="0"/>
                <w:sz w:val="21"/>
                <w:szCs w:val="21"/>
                <w:highlight w:val="none"/>
                <w:lang w:bidi="ar"/>
              </w:rPr>
              <w:t>（截至2024</w:t>
            </w:r>
            <w:r>
              <w:rPr>
                <w:rFonts w:eastAsia="宋体"/>
                <w:color w:val="auto"/>
                <w:kern w:val="0"/>
                <w:sz w:val="21"/>
                <w:szCs w:val="21"/>
                <w:highlight w:val="none"/>
                <w:lang w:bidi="ar"/>
              </w:rPr>
              <w:t>年底累计完成投资</w:t>
            </w:r>
            <w:r>
              <w:rPr>
                <w:rFonts w:hint="default" w:eastAsia="宋体"/>
                <w:color w:val="auto"/>
                <w:kern w:val="0"/>
                <w:sz w:val="21"/>
                <w:szCs w:val="21"/>
                <w:highlight w:val="none"/>
                <w:lang w:bidi="ar"/>
              </w:rPr>
              <w:t>）</w:t>
            </w:r>
          </w:p>
        </w:tc>
        <w:tc>
          <w:tcPr>
            <w:tcW w:w="1165" w:type="dxa"/>
            <w:tcBorders>
              <w:top w:val="nil"/>
              <w:left w:val="single" w:color="000000" w:sz="8" w:space="0"/>
              <w:bottom w:val="single" w:color="000000" w:sz="8" w:space="0"/>
              <w:right w:val="single" w:color="000000" w:sz="8" w:space="0"/>
            </w:tcBorders>
            <w:noWrap w:val="0"/>
            <w:vAlign w:val="center"/>
          </w:tcPr>
          <w:p w14:paraId="6320F8A0">
            <w:pPr>
              <w:jc w:val="center"/>
              <w:rPr>
                <w:rFonts w:eastAsia="宋体"/>
                <w:color w:val="auto"/>
                <w:sz w:val="21"/>
                <w:szCs w:val="21"/>
                <w:highlight w:val="none"/>
              </w:rPr>
            </w:pPr>
          </w:p>
        </w:tc>
        <w:tc>
          <w:tcPr>
            <w:tcW w:w="1544" w:type="dxa"/>
            <w:tcBorders>
              <w:top w:val="nil"/>
              <w:left w:val="single" w:color="000000" w:sz="8" w:space="0"/>
              <w:bottom w:val="single" w:color="000000" w:sz="8" w:space="0"/>
              <w:right w:val="single" w:color="000000" w:sz="8" w:space="0"/>
            </w:tcBorders>
            <w:shd w:val="clear" w:color="auto" w:fill="auto"/>
            <w:noWrap w:val="0"/>
            <w:vAlign w:val="center"/>
          </w:tcPr>
          <w:p w14:paraId="69B91DAB">
            <w:pPr>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rPr>
              <w:t>10653436.3</w:t>
            </w:r>
            <w:r>
              <w:rPr>
                <w:rFonts w:hint="eastAsia"/>
                <w:color w:val="auto"/>
                <w:sz w:val="21"/>
                <w:szCs w:val="21"/>
                <w:highlight w:val="none"/>
                <w:lang w:val="en-US" w:eastAsia="zh-CN"/>
              </w:rPr>
              <w:t>6</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4644BD21">
            <w:pPr>
              <w:jc w:val="center"/>
              <w:rPr>
                <w:rFonts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rPr>
              <w:t>1346446.18</w:t>
            </w:r>
          </w:p>
        </w:tc>
      </w:tr>
      <w:tr w14:paraId="0DF742F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8D9273B">
            <w:pPr>
              <w:jc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4857863F">
            <w:pPr>
              <w:widowControl/>
              <w:textAlignment w:val="center"/>
              <w:rPr>
                <w:rFonts w:eastAsia="宋体"/>
                <w:color w:val="auto"/>
                <w:kern w:val="0"/>
                <w:sz w:val="21"/>
                <w:szCs w:val="21"/>
                <w:highlight w:val="none"/>
                <w:lang w:bidi="ar"/>
              </w:rPr>
            </w:pPr>
            <w:r>
              <w:rPr>
                <w:rFonts w:eastAsia="宋体"/>
                <w:color w:val="auto"/>
                <w:kern w:val="0"/>
                <w:sz w:val="21"/>
                <w:szCs w:val="21"/>
                <w:highlight w:val="none"/>
                <w:lang w:bidi="ar"/>
              </w:rPr>
              <w:t>其中：</w:t>
            </w:r>
            <w:r>
              <w:rPr>
                <w:rFonts w:hint="default" w:eastAsia="宋体"/>
                <w:color w:val="auto"/>
                <w:kern w:val="0"/>
                <w:sz w:val="21"/>
                <w:szCs w:val="21"/>
                <w:highlight w:val="none"/>
                <w:lang w:bidi="ar"/>
              </w:rPr>
              <w:t>中央</w:t>
            </w:r>
            <w:r>
              <w:rPr>
                <w:rFonts w:eastAsia="宋体"/>
                <w:color w:val="auto"/>
                <w:kern w:val="0"/>
                <w:sz w:val="21"/>
                <w:szCs w:val="21"/>
                <w:highlight w:val="none"/>
                <w:lang w:bidi="ar"/>
              </w:rPr>
              <w:t>财政资金</w:t>
            </w:r>
          </w:p>
        </w:tc>
        <w:tc>
          <w:tcPr>
            <w:tcW w:w="1165" w:type="dxa"/>
            <w:tcBorders>
              <w:top w:val="nil"/>
              <w:left w:val="single" w:color="000000" w:sz="8" w:space="0"/>
              <w:bottom w:val="single" w:color="000000" w:sz="8" w:space="0"/>
              <w:right w:val="single" w:color="000000" w:sz="8" w:space="0"/>
            </w:tcBorders>
            <w:noWrap w:val="0"/>
            <w:vAlign w:val="center"/>
          </w:tcPr>
          <w:p w14:paraId="2CF32EC8">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shd w:val="clear" w:color="auto" w:fill="auto"/>
            <w:noWrap w:val="0"/>
            <w:vAlign w:val="center"/>
          </w:tcPr>
          <w:p w14:paraId="7D82F8D4">
            <w:pPr>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rPr>
              <w:t>149521</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44B01268">
            <w:pPr>
              <w:jc w:val="center"/>
              <w:rPr>
                <w:rFonts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rPr>
              <w:t>31253.17</w:t>
            </w:r>
          </w:p>
        </w:tc>
      </w:tr>
      <w:tr w14:paraId="323C616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1E9D693">
            <w:pPr>
              <w:jc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6AC42893">
            <w:pPr>
              <w:widowControl/>
              <w:textAlignment w:val="center"/>
              <w:rPr>
                <w:rFonts w:eastAsia="宋体"/>
                <w:color w:val="auto"/>
                <w:sz w:val="21"/>
                <w:szCs w:val="21"/>
                <w:highlight w:val="none"/>
              </w:rPr>
            </w:pPr>
            <w:r>
              <w:rPr>
                <w:rFonts w:hint="default" w:eastAsia="宋体"/>
                <w:color w:val="auto"/>
                <w:kern w:val="0"/>
                <w:sz w:val="21"/>
                <w:szCs w:val="21"/>
                <w:highlight w:val="none"/>
                <w:lang w:bidi="ar"/>
              </w:rPr>
              <w:t xml:space="preserve">      </w:t>
            </w:r>
            <w:r>
              <w:rPr>
                <w:rFonts w:eastAsia="宋体"/>
                <w:color w:val="auto"/>
                <w:kern w:val="0"/>
                <w:sz w:val="21"/>
                <w:szCs w:val="21"/>
                <w:highlight w:val="none"/>
                <w:lang w:bidi="ar"/>
              </w:rPr>
              <w:t>省级财政资金</w:t>
            </w:r>
          </w:p>
        </w:tc>
        <w:tc>
          <w:tcPr>
            <w:tcW w:w="1165" w:type="dxa"/>
            <w:tcBorders>
              <w:top w:val="nil"/>
              <w:left w:val="single" w:color="000000" w:sz="8" w:space="0"/>
              <w:bottom w:val="single" w:color="000000" w:sz="8" w:space="0"/>
              <w:right w:val="single" w:color="000000" w:sz="8" w:space="0"/>
            </w:tcBorders>
            <w:noWrap w:val="0"/>
            <w:vAlign w:val="center"/>
          </w:tcPr>
          <w:p w14:paraId="04198DD5">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18F1211B">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225451</w:t>
            </w:r>
          </w:p>
        </w:tc>
        <w:tc>
          <w:tcPr>
            <w:tcW w:w="1276" w:type="dxa"/>
            <w:tcBorders>
              <w:top w:val="nil"/>
              <w:left w:val="single" w:color="000000" w:sz="8" w:space="0"/>
              <w:bottom w:val="single" w:color="000000" w:sz="8" w:space="0"/>
              <w:right w:val="single" w:color="000000" w:sz="8" w:space="0"/>
            </w:tcBorders>
            <w:noWrap w:val="0"/>
            <w:vAlign w:val="center"/>
          </w:tcPr>
          <w:p w14:paraId="5FBFB902">
            <w:pPr>
              <w:jc w:val="center"/>
              <w:rPr>
                <w:rFonts w:eastAsia="宋体"/>
                <w:color w:val="auto"/>
                <w:sz w:val="21"/>
                <w:szCs w:val="21"/>
                <w:highlight w:val="none"/>
              </w:rPr>
            </w:pPr>
            <w:r>
              <w:rPr>
                <w:rFonts w:hint="eastAsia" w:eastAsia="宋体"/>
                <w:color w:val="auto"/>
                <w:sz w:val="21"/>
                <w:szCs w:val="21"/>
                <w:highlight w:val="none"/>
              </w:rPr>
              <w:t>146074.52</w:t>
            </w:r>
          </w:p>
        </w:tc>
      </w:tr>
      <w:tr w14:paraId="41735EB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F19C7EC">
            <w:pPr>
              <w:jc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3</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5254302E">
            <w:pPr>
              <w:widowControl/>
              <w:ind w:firstLine="630" w:firstLineChars="300"/>
              <w:jc w:val="left"/>
              <w:textAlignment w:val="center"/>
              <w:rPr>
                <w:rFonts w:eastAsia="宋体"/>
                <w:color w:val="auto"/>
                <w:sz w:val="21"/>
                <w:szCs w:val="21"/>
                <w:highlight w:val="none"/>
              </w:rPr>
            </w:pPr>
            <w:r>
              <w:rPr>
                <w:rFonts w:eastAsia="宋体"/>
                <w:color w:val="auto"/>
                <w:kern w:val="0"/>
                <w:sz w:val="21"/>
                <w:szCs w:val="21"/>
                <w:highlight w:val="none"/>
                <w:lang w:bidi="ar"/>
              </w:rPr>
              <w:t>市县财政资金</w:t>
            </w:r>
          </w:p>
        </w:tc>
        <w:tc>
          <w:tcPr>
            <w:tcW w:w="1165" w:type="dxa"/>
            <w:tcBorders>
              <w:top w:val="nil"/>
              <w:left w:val="single" w:color="000000" w:sz="8" w:space="0"/>
              <w:bottom w:val="single" w:color="000000" w:sz="8" w:space="0"/>
              <w:right w:val="single" w:color="000000" w:sz="8" w:space="0"/>
            </w:tcBorders>
            <w:noWrap w:val="0"/>
            <w:vAlign w:val="center"/>
          </w:tcPr>
          <w:p w14:paraId="58EBC6ED">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4D80D8A9">
            <w:pPr>
              <w:jc w:val="center"/>
              <w:rPr>
                <w:rFonts w:eastAsia="宋体"/>
                <w:color w:val="auto"/>
                <w:sz w:val="21"/>
                <w:szCs w:val="21"/>
                <w:highlight w:val="none"/>
              </w:rPr>
            </w:pPr>
            <w:r>
              <w:rPr>
                <w:rFonts w:hint="eastAsia" w:eastAsia="宋体"/>
                <w:color w:val="auto"/>
                <w:sz w:val="21"/>
                <w:szCs w:val="21"/>
                <w:highlight w:val="none"/>
              </w:rPr>
              <w:t>1620693.67</w:t>
            </w:r>
          </w:p>
        </w:tc>
        <w:tc>
          <w:tcPr>
            <w:tcW w:w="1276" w:type="dxa"/>
            <w:tcBorders>
              <w:top w:val="nil"/>
              <w:left w:val="single" w:color="000000" w:sz="8" w:space="0"/>
              <w:bottom w:val="single" w:color="000000" w:sz="8" w:space="0"/>
              <w:right w:val="single" w:color="000000" w:sz="8" w:space="0"/>
            </w:tcBorders>
            <w:noWrap w:val="0"/>
            <w:vAlign w:val="center"/>
          </w:tcPr>
          <w:p w14:paraId="5BB2CE62">
            <w:pPr>
              <w:jc w:val="center"/>
              <w:rPr>
                <w:rFonts w:eastAsia="宋体"/>
                <w:color w:val="auto"/>
                <w:sz w:val="21"/>
                <w:szCs w:val="21"/>
                <w:highlight w:val="none"/>
              </w:rPr>
            </w:pPr>
            <w:r>
              <w:rPr>
                <w:rFonts w:hint="eastAsia" w:eastAsia="宋体"/>
                <w:color w:val="auto"/>
                <w:sz w:val="21"/>
                <w:szCs w:val="21"/>
                <w:highlight w:val="none"/>
              </w:rPr>
              <w:t>91539.01</w:t>
            </w:r>
          </w:p>
        </w:tc>
      </w:tr>
      <w:tr w14:paraId="3553EEA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540620E">
            <w:pPr>
              <w:jc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4</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4E860488">
            <w:pPr>
              <w:widowControl/>
              <w:ind w:firstLine="630" w:firstLineChars="300"/>
              <w:jc w:val="left"/>
              <w:textAlignment w:val="center"/>
              <w:rPr>
                <w:rFonts w:eastAsia="宋体"/>
                <w:color w:val="auto"/>
                <w:sz w:val="21"/>
                <w:szCs w:val="21"/>
                <w:highlight w:val="none"/>
              </w:rPr>
            </w:pPr>
            <w:r>
              <w:rPr>
                <w:rFonts w:eastAsia="宋体"/>
                <w:color w:val="auto"/>
                <w:kern w:val="0"/>
                <w:sz w:val="21"/>
                <w:szCs w:val="21"/>
                <w:highlight w:val="none"/>
                <w:lang w:bidi="ar"/>
              </w:rPr>
              <w:t>债务资金</w:t>
            </w:r>
          </w:p>
        </w:tc>
        <w:tc>
          <w:tcPr>
            <w:tcW w:w="1165" w:type="dxa"/>
            <w:tcBorders>
              <w:top w:val="nil"/>
              <w:left w:val="single" w:color="000000" w:sz="8" w:space="0"/>
              <w:bottom w:val="single" w:color="000000" w:sz="8" w:space="0"/>
              <w:right w:val="single" w:color="000000" w:sz="8" w:space="0"/>
            </w:tcBorders>
            <w:noWrap w:val="0"/>
            <w:vAlign w:val="center"/>
          </w:tcPr>
          <w:p w14:paraId="6CD24531">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003230FB">
            <w:pPr>
              <w:jc w:val="center"/>
              <w:rPr>
                <w:rFonts w:eastAsia="宋体"/>
                <w:color w:val="auto"/>
                <w:sz w:val="21"/>
                <w:szCs w:val="21"/>
                <w:highlight w:val="none"/>
              </w:rPr>
            </w:pPr>
            <w:r>
              <w:rPr>
                <w:rFonts w:hint="eastAsia" w:eastAsia="宋体"/>
                <w:color w:val="auto"/>
                <w:sz w:val="21"/>
                <w:szCs w:val="21"/>
                <w:highlight w:val="none"/>
              </w:rPr>
              <w:t>423272.54</w:t>
            </w:r>
          </w:p>
        </w:tc>
        <w:tc>
          <w:tcPr>
            <w:tcW w:w="1276" w:type="dxa"/>
            <w:tcBorders>
              <w:top w:val="nil"/>
              <w:left w:val="single" w:color="000000" w:sz="8" w:space="0"/>
              <w:bottom w:val="single" w:color="000000" w:sz="8" w:space="0"/>
              <w:right w:val="single" w:color="000000" w:sz="8" w:space="0"/>
            </w:tcBorders>
            <w:noWrap w:val="0"/>
            <w:vAlign w:val="center"/>
          </w:tcPr>
          <w:p w14:paraId="5EC71081">
            <w:pPr>
              <w:jc w:val="center"/>
              <w:rPr>
                <w:rFonts w:eastAsia="宋体"/>
                <w:color w:val="auto"/>
                <w:sz w:val="21"/>
                <w:szCs w:val="21"/>
                <w:highlight w:val="none"/>
              </w:rPr>
            </w:pPr>
            <w:r>
              <w:rPr>
                <w:rFonts w:hint="eastAsia" w:eastAsia="宋体"/>
                <w:color w:val="auto"/>
                <w:sz w:val="21"/>
                <w:szCs w:val="21"/>
                <w:highlight w:val="none"/>
              </w:rPr>
              <w:t>73513.1</w:t>
            </w:r>
          </w:p>
        </w:tc>
      </w:tr>
      <w:tr w14:paraId="5A05C65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DD1178B">
            <w:pPr>
              <w:jc w:val="center"/>
              <w:rPr>
                <w:rFonts w:eastAsia="宋体"/>
                <w:color w:val="auto"/>
                <w:sz w:val="21"/>
                <w:szCs w:val="21"/>
                <w:highlight w:val="none"/>
              </w:rPr>
            </w:pPr>
            <w:r>
              <w:rPr>
                <w:rFonts w:hint="default" w:eastAsia="宋体"/>
                <w:color w:val="auto"/>
                <w:kern w:val="0"/>
                <w:sz w:val="21"/>
                <w:szCs w:val="21"/>
                <w:highlight w:val="none"/>
                <w:lang w:bidi="ar"/>
              </w:rPr>
              <w:t>(5)</w:t>
            </w:r>
          </w:p>
        </w:tc>
        <w:tc>
          <w:tcPr>
            <w:tcW w:w="4426" w:type="dxa"/>
            <w:tcBorders>
              <w:top w:val="nil"/>
              <w:left w:val="single" w:color="000000" w:sz="8" w:space="0"/>
              <w:bottom w:val="single" w:color="000000" w:sz="8" w:space="0"/>
              <w:right w:val="single" w:color="000000" w:sz="8" w:space="0"/>
            </w:tcBorders>
            <w:noWrap w:val="0"/>
            <w:vAlign w:val="center"/>
          </w:tcPr>
          <w:p w14:paraId="797016B8">
            <w:pPr>
              <w:widowControl/>
              <w:jc w:val="left"/>
              <w:textAlignment w:val="center"/>
              <w:rPr>
                <w:rFonts w:eastAsia="宋体"/>
                <w:color w:val="auto"/>
                <w:sz w:val="21"/>
                <w:szCs w:val="21"/>
                <w:highlight w:val="none"/>
              </w:rPr>
            </w:pPr>
            <w:r>
              <w:rPr>
                <w:rFonts w:eastAsia="宋体"/>
                <w:color w:val="auto"/>
                <w:kern w:val="0"/>
                <w:sz w:val="21"/>
                <w:szCs w:val="21"/>
                <w:highlight w:val="none"/>
                <w:lang w:bidi="ar"/>
              </w:rPr>
              <w:t xml:space="preserve">      其他自筹资金</w:t>
            </w:r>
          </w:p>
        </w:tc>
        <w:tc>
          <w:tcPr>
            <w:tcW w:w="1165" w:type="dxa"/>
            <w:tcBorders>
              <w:top w:val="nil"/>
              <w:left w:val="single" w:color="000000" w:sz="8" w:space="0"/>
              <w:bottom w:val="single" w:color="000000" w:sz="8" w:space="0"/>
              <w:right w:val="single" w:color="000000" w:sz="8" w:space="0"/>
            </w:tcBorders>
            <w:noWrap w:val="0"/>
            <w:vAlign w:val="center"/>
          </w:tcPr>
          <w:p w14:paraId="36BD2047">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59172874">
            <w:pPr>
              <w:jc w:val="center"/>
              <w:rPr>
                <w:rFonts w:eastAsia="宋体"/>
                <w:color w:val="auto"/>
                <w:sz w:val="21"/>
                <w:szCs w:val="21"/>
                <w:highlight w:val="none"/>
              </w:rPr>
            </w:pPr>
            <w:r>
              <w:rPr>
                <w:rFonts w:hint="eastAsia" w:eastAsia="宋体"/>
                <w:color w:val="auto"/>
                <w:sz w:val="21"/>
                <w:szCs w:val="21"/>
                <w:highlight w:val="none"/>
              </w:rPr>
              <w:t>8234498.15</w:t>
            </w:r>
          </w:p>
        </w:tc>
        <w:tc>
          <w:tcPr>
            <w:tcW w:w="1276" w:type="dxa"/>
            <w:tcBorders>
              <w:top w:val="nil"/>
              <w:left w:val="single" w:color="000000" w:sz="8" w:space="0"/>
              <w:bottom w:val="single" w:color="000000" w:sz="8" w:space="0"/>
              <w:right w:val="single" w:color="000000" w:sz="8" w:space="0"/>
            </w:tcBorders>
            <w:noWrap w:val="0"/>
            <w:vAlign w:val="center"/>
          </w:tcPr>
          <w:p w14:paraId="40986426">
            <w:pPr>
              <w:jc w:val="center"/>
              <w:rPr>
                <w:rFonts w:eastAsia="宋体"/>
                <w:color w:val="auto"/>
                <w:sz w:val="21"/>
                <w:szCs w:val="21"/>
                <w:highlight w:val="none"/>
              </w:rPr>
            </w:pPr>
            <w:r>
              <w:rPr>
                <w:rFonts w:hint="eastAsia" w:eastAsia="宋体"/>
                <w:color w:val="auto"/>
                <w:sz w:val="21"/>
                <w:szCs w:val="21"/>
                <w:highlight w:val="none"/>
              </w:rPr>
              <w:t>1004066.38</w:t>
            </w:r>
          </w:p>
        </w:tc>
      </w:tr>
      <w:tr w14:paraId="3C2A81C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344051C">
            <w:pPr>
              <w:widowControl/>
              <w:jc w:val="center"/>
              <w:textAlignment w:val="center"/>
              <w:rPr>
                <w:rFonts w:hint="default" w:eastAsia="宋体"/>
                <w:color w:val="auto"/>
                <w:sz w:val="21"/>
                <w:szCs w:val="21"/>
                <w:highlight w:val="none"/>
              </w:rPr>
            </w:pPr>
            <w:r>
              <w:rPr>
                <w:rFonts w:hint="default" w:eastAsia="宋体"/>
                <w:color w:val="auto"/>
                <w:kern w:val="0"/>
                <w:sz w:val="21"/>
                <w:szCs w:val="21"/>
                <w:highlight w:val="none"/>
                <w:lang w:bidi="ar"/>
              </w:rPr>
              <w:t>3</w:t>
            </w:r>
          </w:p>
        </w:tc>
        <w:tc>
          <w:tcPr>
            <w:tcW w:w="4426" w:type="dxa"/>
            <w:tcBorders>
              <w:top w:val="nil"/>
              <w:left w:val="single" w:color="000000" w:sz="8" w:space="0"/>
              <w:bottom w:val="single" w:color="000000" w:sz="8" w:space="0"/>
              <w:right w:val="single" w:color="000000" w:sz="8" w:space="0"/>
            </w:tcBorders>
            <w:noWrap w:val="0"/>
            <w:vAlign w:val="center"/>
          </w:tcPr>
          <w:p w14:paraId="7D827D8F">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专项资金到账时间</w:t>
            </w:r>
          </w:p>
        </w:tc>
        <w:tc>
          <w:tcPr>
            <w:tcW w:w="1165" w:type="dxa"/>
            <w:tcBorders>
              <w:top w:val="nil"/>
              <w:left w:val="single" w:color="000000" w:sz="8" w:space="0"/>
              <w:bottom w:val="single" w:color="000000" w:sz="8" w:space="0"/>
              <w:right w:val="single" w:color="000000" w:sz="8" w:space="0"/>
            </w:tcBorders>
            <w:noWrap w:val="0"/>
            <w:vAlign w:val="center"/>
          </w:tcPr>
          <w:p w14:paraId="5709AA6B">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年/月/日</w:t>
            </w:r>
          </w:p>
        </w:tc>
        <w:tc>
          <w:tcPr>
            <w:tcW w:w="1544" w:type="dxa"/>
            <w:tcBorders>
              <w:top w:val="nil"/>
              <w:left w:val="single" w:color="000000" w:sz="8" w:space="0"/>
              <w:bottom w:val="single" w:color="000000" w:sz="8" w:space="0"/>
              <w:right w:val="single" w:color="000000" w:sz="8" w:space="0"/>
            </w:tcBorders>
            <w:noWrap w:val="0"/>
            <w:vAlign w:val="center"/>
          </w:tcPr>
          <w:p w14:paraId="2790F091">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45E69007">
            <w:pPr>
              <w:jc w:val="center"/>
              <w:rPr>
                <w:rFonts w:eastAsia="宋体"/>
                <w:color w:val="auto"/>
                <w:sz w:val="21"/>
                <w:szCs w:val="21"/>
                <w:highlight w:val="none"/>
              </w:rPr>
            </w:pPr>
          </w:p>
        </w:tc>
      </w:tr>
      <w:tr w14:paraId="6AE3CCB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61F333F">
            <w:pPr>
              <w:widowControl/>
              <w:jc w:val="center"/>
              <w:textAlignment w:val="center"/>
              <w:rPr>
                <w:rFonts w:hint="eastAsia" w:eastAsia="宋体"/>
                <w:color w:val="auto"/>
                <w:kern w:val="0"/>
                <w:sz w:val="21"/>
                <w:szCs w:val="21"/>
                <w:highlight w:val="none"/>
                <w:lang w:val="en-US" w:eastAsia="zh-CN" w:bidi="ar"/>
              </w:rPr>
            </w:pPr>
            <w:r>
              <w:rPr>
                <w:rFonts w:hint="eastAsia" w:eastAsia="宋体"/>
                <w:color w:val="auto"/>
                <w:kern w:val="0"/>
                <w:sz w:val="21"/>
                <w:szCs w:val="21"/>
                <w:highlight w:val="none"/>
                <w:lang w:val="en-US" w:eastAsia="zh-CN" w:bidi="ar"/>
              </w:rPr>
              <w:t>4</w:t>
            </w:r>
          </w:p>
        </w:tc>
        <w:tc>
          <w:tcPr>
            <w:tcW w:w="4426" w:type="dxa"/>
            <w:tcBorders>
              <w:top w:val="nil"/>
              <w:left w:val="single" w:color="000000" w:sz="8" w:space="0"/>
              <w:bottom w:val="single" w:color="000000" w:sz="8" w:space="0"/>
              <w:right w:val="single" w:color="000000" w:sz="8" w:space="0"/>
            </w:tcBorders>
            <w:noWrap w:val="0"/>
            <w:vAlign w:val="center"/>
          </w:tcPr>
          <w:p w14:paraId="126DF93A">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专项资金到账金额</w:t>
            </w:r>
          </w:p>
        </w:tc>
        <w:tc>
          <w:tcPr>
            <w:tcW w:w="1165" w:type="dxa"/>
            <w:tcBorders>
              <w:top w:val="nil"/>
              <w:left w:val="single" w:color="000000" w:sz="8" w:space="0"/>
              <w:bottom w:val="single" w:color="000000" w:sz="8" w:space="0"/>
              <w:right w:val="single" w:color="000000" w:sz="8" w:space="0"/>
            </w:tcBorders>
            <w:noWrap w:val="0"/>
            <w:vAlign w:val="center"/>
          </w:tcPr>
          <w:p w14:paraId="2C6EE0CF">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0975CD09">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79B17428">
            <w:pPr>
              <w:jc w:val="center"/>
              <w:rPr>
                <w:rFonts w:eastAsia="宋体"/>
                <w:color w:val="auto"/>
                <w:sz w:val="21"/>
                <w:szCs w:val="21"/>
                <w:highlight w:val="none"/>
              </w:rPr>
            </w:pPr>
          </w:p>
        </w:tc>
      </w:tr>
      <w:tr w14:paraId="68C1B73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9822776">
            <w:pPr>
              <w:widowControl/>
              <w:jc w:val="center"/>
              <w:textAlignment w:val="center"/>
              <w:rPr>
                <w:rFonts w:hint="eastAsia" w:eastAsia="宋体"/>
                <w:color w:val="auto"/>
                <w:kern w:val="0"/>
                <w:sz w:val="21"/>
                <w:szCs w:val="21"/>
                <w:highlight w:val="none"/>
                <w:lang w:eastAsia="zh-CN" w:bidi="ar"/>
              </w:rPr>
            </w:pPr>
            <w:r>
              <w:rPr>
                <w:rFonts w:hint="eastAsia" w:eastAsia="宋体"/>
                <w:color w:val="auto"/>
                <w:kern w:val="0"/>
                <w:sz w:val="21"/>
                <w:szCs w:val="21"/>
                <w:highlight w:val="none"/>
                <w:lang w:val="en-US" w:eastAsia="zh-CN" w:bidi="ar"/>
              </w:rPr>
              <w:t>5</w:t>
            </w:r>
          </w:p>
        </w:tc>
        <w:tc>
          <w:tcPr>
            <w:tcW w:w="4426" w:type="dxa"/>
            <w:tcBorders>
              <w:top w:val="nil"/>
              <w:left w:val="single" w:color="000000" w:sz="8" w:space="0"/>
              <w:bottom w:val="single" w:color="000000" w:sz="8" w:space="0"/>
              <w:right w:val="single" w:color="000000" w:sz="8" w:space="0"/>
            </w:tcBorders>
            <w:noWrap w:val="0"/>
            <w:vAlign w:val="center"/>
          </w:tcPr>
          <w:p w14:paraId="5D898A6E">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2024</w:t>
            </w:r>
            <w:r>
              <w:rPr>
                <w:rFonts w:eastAsia="宋体"/>
                <w:color w:val="auto"/>
                <w:kern w:val="0"/>
                <w:sz w:val="21"/>
                <w:szCs w:val="21"/>
                <w:highlight w:val="none"/>
                <w:lang w:bidi="ar"/>
              </w:rPr>
              <w:t>年度项目建设内容</w:t>
            </w:r>
          </w:p>
        </w:tc>
        <w:tc>
          <w:tcPr>
            <w:tcW w:w="1165" w:type="dxa"/>
            <w:tcBorders>
              <w:top w:val="nil"/>
              <w:left w:val="single" w:color="000000" w:sz="8" w:space="0"/>
              <w:bottom w:val="single" w:color="000000" w:sz="8" w:space="0"/>
              <w:right w:val="single" w:color="000000" w:sz="8" w:space="0"/>
            </w:tcBorders>
            <w:noWrap w:val="0"/>
            <w:vAlign w:val="center"/>
          </w:tcPr>
          <w:p w14:paraId="71A50205">
            <w:pPr>
              <w:widowControl/>
              <w:jc w:val="center"/>
              <w:textAlignment w:val="center"/>
              <w:rPr>
                <w:rFonts w:eastAsia="宋体"/>
                <w:color w:val="auto"/>
                <w:kern w:val="0"/>
                <w:sz w:val="21"/>
                <w:szCs w:val="21"/>
                <w:highlight w:val="none"/>
                <w:lang w:bidi="ar"/>
              </w:rPr>
            </w:pPr>
          </w:p>
        </w:tc>
        <w:tc>
          <w:tcPr>
            <w:tcW w:w="1544" w:type="dxa"/>
            <w:tcBorders>
              <w:top w:val="nil"/>
              <w:left w:val="single" w:color="000000" w:sz="8" w:space="0"/>
              <w:bottom w:val="single" w:color="000000" w:sz="8" w:space="0"/>
              <w:right w:val="single" w:color="000000" w:sz="8" w:space="0"/>
            </w:tcBorders>
            <w:noWrap w:val="0"/>
            <w:vAlign w:val="center"/>
          </w:tcPr>
          <w:p w14:paraId="35C7BE13">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7CDCA050">
            <w:pPr>
              <w:jc w:val="center"/>
              <w:rPr>
                <w:rFonts w:eastAsia="宋体"/>
                <w:color w:val="auto"/>
                <w:sz w:val="21"/>
                <w:szCs w:val="21"/>
                <w:highlight w:val="none"/>
              </w:rPr>
            </w:pPr>
          </w:p>
        </w:tc>
      </w:tr>
      <w:tr w14:paraId="64CCBF1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8B530C8">
            <w:pPr>
              <w:widowControl/>
              <w:jc w:val="center"/>
              <w:textAlignment w:val="center"/>
              <w:rPr>
                <w:rFonts w:hint="eastAsia" w:eastAsia="宋体"/>
                <w:color w:val="auto"/>
                <w:kern w:val="0"/>
                <w:sz w:val="21"/>
                <w:szCs w:val="21"/>
                <w:highlight w:val="none"/>
                <w:lang w:eastAsia="zh-CN" w:bidi="ar"/>
              </w:rPr>
            </w:pPr>
            <w:r>
              <w:rPr>
                <w:rFonts w:hint="eastAsia" w:eastAsia="宋体"/>
                <w:color w:val="auto"/>
                <w:kern w:val="0"/>
                <w:sz w:val="21"/>
                <w:szCs w:val="21"/>
                <w:highlight w:val="none"/>
                <w:lang w:val="en-US" w:eastAsia="zh-CN" w:bidi="ar"/>
              </w:rPr>
              <w:t>6</w:t>
            </w:r>
          </w:p>
        </w:tc>
        <w:tc>
          <w:tcPr>
            <w:tcW w:w="4426" w:type="dxa"/>
            <w:tcBorders>
              <w:top w:val="nil"/>
              <w:left w:val="single" w:color="000000" w:sz="8" w:space="0"/>
              <w:bottom w:val="single" w:color="000000" w:sz="8" w:space="0"/>
              <w:right w:val="single" w:color="000000" w:sz="8" w:space="0"/>
            </w:tcBorders>
            <w:noWrap w:val="0"/>
            <w:vAlign w:val="center"/>
          </w:tcPr>
          <w:p w14:paraId="757C75FF">
            <w:pPr>
              <w:widowControl/>
              <w:jc w:val="center"/>
              <w:textAlignment w:val="center"/>
              <w:rPr>
                <w:rFonts w:hint="default" w:eastAsia="宋体"/>
                <w:color w:val="auto"/>
                <w:sz w:val="21"/>
                <w:szCs w:val="21"/>
                <w:highlight w:val="none"/>
              </w:rPr>
            </w:pPr>
            <w:r>
              <w:rPr>
                <w:rFonts w:hint="default" w:eastAsia="宋体"/>
                <w:color w:val="auto"/>
                <w:kern w:val="0"/>
                <w:sz w:val="21"/>
                <w:szCs w:val="21"/>
                <w:highlight w:val="none"/>
                <w:lang w:bidi="ar"/>
              </w:rPr>
              <w:t>2024</w:t>
            </w:r>
            <w:r>
              <w:rPr>
                <w:rFonts w:eastAsia="宋体"/>
                <w:color w:val="auto"/>
                <w:kern w:val="0"/>
                <w:sz w:val="21"/>
                <w:szCs w:val="21"/>
                <w:highlight w:val="none"/>
                <w:lang w:bidi="ar"/>
              </w:rPr>
              <w:t>年度新增投资</w:t>
            </w:r>
            <w:r>
              <w:rPr>
                <w:rFonts w:hint="default" w:eastAsia="宋体"/>
                <w:color w:val="auto"/>
                <w:kern w:val="0"/>
                <w:sz w:val="21"/>
                <w:szCs w:val="21"/>
                <w:highlight w:val="none"/>
                <w:lang w:bidi="ar"/>
              </w:rPr>
              <w:t>金额</w:t>
            </w:r>
          </w:p>
        </w:tc>
        <w:tc>
          <w:tcPr>
            <w:tcW w:w="1165" w:type="dxa"/>
            <w:tcBorders>
              <w:top w:val="nil"/>
              <w:left w:val="single" w:color="000000" w:sz="8" w:space="0"/>
              <w:bottom w:val="single" w:color="000000" w:sz="8" w:space="0"/>
              <w:right w:val="single" w:color="000000" w:sz="8" w:space="0"/>
            </w:tcBorders>
            <w:noWrap w:val="0"/>
            <w:vAlign w:val="center"/>
          </w:tcPr>
          <w:p w14:paraId="3F3CCC83">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0DC0799C">
            <w:pPr>
              <w:jc w:val="center"/>
              <w:rPr>
                <w:rFonts w:eastAsia="宋体"/>
                <w:color w:val="auto"/>
                <w:sz w:val="21"/>
                <w:szCs w:val="21"/>
                <w:highlight w:val="none"/>
              </w:rPr>
            </w:pPr>
            <w:r>
              <w:rPr>
                <w:rFonts w:hint="eastAsia" w:eastAsia="宋体"/>
                <w:color w:val="auto"/>
                <w:sz w:val="21"/>
                <w:szCs w:val="21"/>
                <w:highlight w:val="none"/>
              </w:rPr>
              <w:t>235627.71</w:t>
            </w:r>
          </w:p>
        </w:tc>
        <w:tc>
          <w:tcPr>
            <w:tcW w:w="1276" w:type="dxa"/>
            <w:tcBorders>
              <w:top w:val="nil"/>
              <w:left w:val="single" w:color="000000" w:sz="8" w:space="0"/>
              <w:bottom w:val="single" w:color="000000" w:sz="8" w:space="0"/>
              <w:right w:val="single" w:color="000000" w:sz="8" w:space="0"/>
            </w:tcBorders>
            <w:noWrap w:val="0"/>
            <w:vAlign w:val="center"/>
          </w:tcPr>
          <w:p w14:paraId="31DD45D0">
            <w:pPr>
              <w:jc w:val="center"/>
              <w:rPr>
                <w:rFonts w:hint="eastAsia" w:eastAsia="宋体"/>
                <w:color w:val="auto"/>
                <w:sz w:val="21"/>
                <w:szCs w:val="21"/>
                <w:highlight w:val="none"/>
                <w:lang w:eastAsia="zh-CN"/>
              </w:rPr>
            </w:pPr>
            <w:r>
              <w:rPr>
                <w:rFonts w:hint="eastAsia" w:eastAsia="宋体"/>
                <w:color w:val="auto"/>
                <w:sz w:val="21"/>
                <w:szCs w:val="21"/>
                <w:highlight w:val="none"/>
              </w:rPr>
              <w:t>308752.9</w:t>
            </w:r>
            <w:r>
              <w:rPr>
                <w:rFonts w:hint="eastAsia"/>
                <w:color w:val="auto"/>
                <w:sz w:val="21"/>
                <w:szCs w:val="21"/>
                <w:highlight w:val="none"/>
                <w:lang w:val="en-US" w:eastAsia="zh-CN"/>
              </w:rPr>
              <w:t>7</w:t>
            </w:r>
          </w:p>
        </w:tc>
      </w:tr>
      <w:tr w14:paraId="0DCACC4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14B7786">
            <w:pPr>
              <w:widowControl/>
              <w:jc w:val="center"/>
              <w:textAlignment w:val="center"/>
              <w:rPr>
                <w:rFonts w:hint="eastAsia" w:eastAsia="宋体"/>
                <w:color w:val="auto"/>
                <w:kern w:val="0"/>
                <w:sz w:val="21"/>
                <w:szCs w:val="21"/>
                <w:highlight w:val="none"/>
                <w:lang w:val="en-US" w:eastAsia="zh-CN" w:bidi="ar"/>
              </w:rPr>
            </w:pPr>
            <w:r>
              <w:rPr>
                <w:rFonts w:hint="eastAsia" w:eastAsia="宋体"/>
                <w:color w:val="auto"/>
                <w:kern w:val="0"/>
                <w:sz w:val="21"/>
                <w:szCs w:val="21"/>
                <w:highlight w:val="none"/>
                <w:lang w:val="en-US" w:eastAsia="zh-CN" w:bidi="ar"/>
              </w:rPr>
              <w:t>7</w:t>
            </w:r>
          </w:p>
        </w:tc>
        <w:tc>
          <w:tcPr>
            <w:tcW w:w="4426" w:type="dxa"/>
            <w:tcBorders>
              <w:top w:val="nil"/>
              <w:left w:val="single" w:color="000000" w:sz="8" w:space="0"/>
              <w:bottom w:val="single" w:color="000000" w:sz="8" w:space="0"/>
              <w:right w:val="single" w:color="000000" w:sz="8" w:space="0"/>
            </w:tcBorders>
            <w:noWrap w:val="0"/>
            <w:vAlign w:val="center"/>
          </w:tcPr>
          <w:p w14:paraId="4E4224B1">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项目固定资产总投资金额</w:t>
            </w:r>
          </w:p>
        </w:tc>
        <w:tc>
          <w:tcPr>
            <w:tcW w:w="1165" w:type="dxa"/>
            <w:tcBorders>
              <w:top w:val="nil"/>
              <w:left w:val="single" w:color="000000" w:sz="8" w:space="0"/>
              <w:bottom w:val="single" w:color="000000" w:sz="8" w:space="0"/>
              <w:right w:val="single" w:color="000000" w:sz="8" w:space="0"/>
            </w:tcBorders>
            <w:noWrap w:val="0"/>
            <w:vAlign w:val="center"/>
          </w:tcPr>
          <w:p w14:paraId="53B7F250">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0584213C">
            <w:pPr>
              <w:jc w:val="center"/>
              <w:rPr>
                <w:rFonts w:eastAsia="宋体"/>
                <w:color w:val="auto"/>
                <w:sz w:val="21"/>
                <w:szCs w:val="21"/>
                <w:highlight w:val="none"/>
              </w:rPr>
            </w:pPr>
            <w:r>
              <w:rPr>
                <w:rFonts w:hint="eastAsia" w:eastAsia="宋体"/>
                <w:color w:val="auto"/>
                <w:sz w:val="21"/>
                <w:szCs w:val="21"/>
                <w:highlight w:val="none"/>
              </w:rPr>
              <w:t>7316905.65</w:t>
            </w:r>
          </w:p>
        </w:tc>
        <w:tc>
          <w:tcPr>
            <w:tcW w:w="1276" w:type="dxa"/>
            <w:tcBorders>
              <w:top w:val="nil"/>
              <w:left w:val="single" w:color="000000" w:sz="8" w:space="0"/>
              <w:bottom w:val="single" w:color="000000" w:sz="8" w:space="0"/>
              <w:right w:val="single" w:color="000000" w:sz="8" w:space="0"/>
            </w:tcBorders>
            <w:noWrap w:val="0"/>
            <w:vAlign w:val="center"/>
          </w:tcPr>
          <w:p w14:paraId="1AD3E7A1">
            <w:pPr>
              <w:jc w:val="center"/>
              <w:rPr>
                <w:rFonts w:hint="eastAsia" w:eastAsia="宋体"/>
                <w:color w:val="auto"/>
                <w:sz w:val="21"/>
                <w:szCs w:val="21"/>
                <w:highlight w:val="none"/>
                <w:lang w:eastAsia="zh-CN"/>
              </w:rPr>
            </w:pPr>
            <w:r>
              <w:rPr>
                <w:rFonts w:hint="eastAsia" w:eastAsia="宋体"/>
                <w:color w:val="auto"/>
                <w:sz w:val="21"/>
                <w:szCs w:val="21"/>
                <w:highlight w:val="none"/>
              </w:rPr>
              <w:t>750959.7</w:t>
            </w:r>
            <w:r>
              <w:rPr>
                <w:rFonts w:hint="eastAsia"/>
                <w:color w:val="auto"/>
                <w:sz w:val="21"/>
                <w:szCs w:val="21"/>
                <w:highlight w:val="none"/>
                <w:lang w:val="en-US" w:eastAsia="zh-CN"/>
              </w:rPr>
              <w:t>8</w:t>
            </w:r>
          </w:p>
        </w:tc>
      </w:tr>
      <w:tr w14:paraId="7DDB24F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C118FF5">
            <w:pPr>
              <w:widowControl/>
              <w:jc w:val="center"/>
              <w:textAlignment w:val="center"/>
              <w:rPr>
                <w:rFonts w:hint="eastAsia" w:eastAsia="宋体"/>
                <w:color w:val="auto"/>
                <w:sz w:val="21"/>
                <w:szCs w:val="21"/>
                <w:highlight w:val="none"/>
                <w:lang w:eastAsia="zh-CN"/>
              </w:rPr>
            </w:pPr>
            <w:r>
              <w:rPr>
                <w:rFonts w:hint="eastAsia" w:eastAsia="宋体"/>
                <w:color w:val="auto"/>
                <w:kern w:val="0"/>
                <w:sz w:val="21"/>
                <w:szCs w:val="21"/>
                <w:highlight w:val="none"/>
                <w:lang w:val="en-US" w:eastAsia="zh-CN" w:bidi="ar"/>
              </w:rPr>
              <w:t>8</w:t>
            </w:r>
          </w:p>
        </w:tc>
        <w:tc>
          <w:tcPr>
            <w:tcW w:w="4426" w:type="dxa"/>
            <w:tcBorders>
              <w:top w:val="nil"/>
              <w:left w:val="single" w:color="000000" w:sz="8" w:space="0"/>
              <w:bottom w:val="single" w:color="000000" w:sz="8" w:space="0"/>
              <w:right w:val="single" w:color="000000" w:sz="8" w:space="0"/>
            </w:tcBorders>
            <w:noWrap w:val="0"/>
            <w:vAlign w:val="center"/>
          </w:tcPr>
          <w:p w14:paraId="3BA23845">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项目开工日期</w:t>
            </w:r>
          </w:p>
        </w:tc>
        <w:tc>
          <w:tcPr>
            <w:tcW w:w="1165" w:type="dxa"/>
            <w:tcBorders>
              <w:top w:val="nil"/>
              <w:left w:val="single" w:color="000000" w:sz="8" w:space="0"/>
              <w:bottom w:val="single" w:color="000000" w:sz="8" w:space="0"/>
              <w:right w:val="single" w:color="000000" w:sz="8" w:space="0"/>
            </w:tcBorders>
            <w:noWrap w:val="0"/>
            <w:vAlign w:val="center"/>
          </w:tcPr>
          <w:p w14:paraId="0C12F173">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年/月/日</w:t>
            </w:r>
          </w:p>
        </w:tc>
        <w:tc>
          <w:tcPr>
            <w:tcW w:w="1544" w:type="dxa"/>
            <w:tcBorders>
              <w:top w:val="nil"/>
              <w:left w:val="single" w:color="000000" w:sz="8" w:space="0"/>
              <w:bottom w:val="single" w:color="000000" w:sz="8" w:space="0"/>
              <w:right w:val="single" w:color="000000" w:sz="8" w:space="0"/>
            </w:tcBorders>
            <w:noWrap w:val="0"/>
            <w:vAlign w:val="center"/>
          </w:tcPr>
          <w:p w14:paraId="004B9AA8">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59AA8DA9">
            <w:pPr>
              <w:jc w:val="center"/>
              <w:rPr>
                <w:rFonts w:eastAsia="宋体"/>
                <w:color w:val="auto"/>
                <w:sz w:val="21"/>
                <w:szCs w:val="21"/>
                <w:highlight w:val="none"/>
              </w:rPr>
            </w:pPr>
          </w:p>
        </w:tc>
      </w:tr>
      <w:tr w14:paraId="63CCD7F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79B0A93">
            <w:pPr>
              <w:widowControl/>
              <w:jc w:val="center"/>
              <w:textAlignment w:val="center"/>
              <w:rPr>
                <w:rFonts w:hint="eastAsia" w:eastAsia="宋体"/>
                <w:color w:val="auto"/>
                <w:sz w:val="21"/>
                <w:szCs w:val="21"/>
                <w:highlight w:val="none"/>
                <w:lang w:eastAsia="zh-CN"/>
              </w:rPr>
            </w:pPr>
            <w:r>
              <w:rPr>
                <w:rFonts w:hint="eastAsia" w:eastAsia="宋体"/>
                <w:color w:val="auto"/>
                <w:kern w:val="0"/>
                <w:sz w:val="21"/>
                <w:szCs w:val="21"/>
                <w:highlight w:val="none"/>
                <w:lang w:val="en-US" w:eastAsia="zh-CN" w:bidi="ar"/>
              </w:rPr>
              <w:t>9</w:t>
            </w:r>
          </w:p>
        </w:tc>
        <w:tc>
          <w:tcPr>
            <w:tcW w:w="4426" w:type="dxa"/>
            <w:tcBorders>
              <w:top w:val="nil"/>
              <w:left w:val="single" w:color="000000" w:sz="8" w:space="0"/>
              <w:bottom w:val="single" w:color="000000" w:sz="8" w:space="0"/>
              <w:right w:val="single" w:color="000000" w:sz="8" w:space="0"/>
            </w:tcBorders>
            <w:noWrap w:val="0"/>
            <w:vAlign w:val="center"/>
          </w:tcPr>
          <w:p w14:paraId="4F05D463">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项目完工日期</w:t>
            </w:r>
          </w:p>
        </w:tc>
        <w:tc>
          <w:tcPr>
            <w:tcW w:w="1165" w:type="dxa"/>
            <w:tcBorders>
              <w:top w:val="nil"/>
              <w:left w:val="single" w:color="000000" w:sz="8" w:space="0"/>
              <w:bottom w:val="single" w:color="000000" w:sz="8" w:space="0"/>
              <w:right w:val="single" w:color="000000" w:sz="8" w:space="0"/>
            </w:tcBorders>
            <w:noWrap w:val="0"/>
            <w:vAlign w:val="center"/>
          </w:tcPr>
          <w:p w14:paraId="790F970B">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年/月/日</w:t>
            </w:r>
          </w:p>
        </w:tc>
        <w:tc>
          <w:tcPr>
            <w:tcW w:w="1544" w:type="dxa"/>
            <w:tcBorders>
              <w:top w:val="nil"/>
              <w:left w:val="single" w:color="000000" w:sz="8" w:space="0"/>
              <w:bottom w:val="single" w:color="000000" w:sz="8" w:space="0"/>
              <w:right w:val="single" w:color="000000" w:sz="8" w:space="0"/>
            </w:tcBorders>
            <w:noWrap w:val="0"/>
            <w:vAlign w:val="center"/>
          </w:tcPr>
          <w:p w14:paraId="4B4F220A">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22567F01">
            <w:pPr>
              <w:jc w:val="center"/>
              <w:rPr>
                <w:rFonts w:eastAsia="宋体"/>
                <w:color w:val="auto"/>
                <w:sz w:val="21"/>
                <w:szCs w:val="21"/>
                <w:highlight w:val="none"/>
              </w:rPr>
            </w:pPr>
          </w:p>
        </w:tc>
      </w:tr>
      <w:tr w14:paraId="76D6A49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2B6AF50">
            <w:pPr>
              <w:widowControl/>
              <w:jc w:val="center"/>
              <w:textAlignment w:val="center"/>
              <w:rPr>
                <w:rFonts w:hint="default" w:eastAsia="宋体"/>
                <w:color w:val="auto"/>
                <w:sz w:val="21"/>
                <w:szCs w:val="21"/>
                <w:highlight w:val="none"/>
                <w:lang w:val="en-US" w:eastAsia="zh-CN"/>
              </w:rPr>
            </w:pPr>
            <w:r>
              <w:rPr>
                <w:rFonts w:hint="eastAsia" w:eastAsia="宋体"/>
                <w:color w:val="auto"/>
                <w:kern w:val="0"/>
                <w:sz w:val="21"/>
                <w:szCs w:val="21"/>
                <w:highlight w:val="none"/>
                <w:lang w:val="en-US" w:eastAsia="zh-CN" w:bidi="ar"/>
              </w:rPr>
              <w:t>10</w:t>
            </w:r>
          </w:p>
        </w:tc>
        <w:tc>
          <w:tcPr>
            <w:tcW w:w="4426" w:type="dxa"/>
            <w:tcBorders>
              <w:top w:val="nil"/>
              <w:left w:val="single" w:color="000000" w:sz="8" w:space="0"/>
              <w:bottom w:val="single" w:color="000000" w:sz="8" w:space="0"/>
              <w:right w:val="single" w:color="000000" w:sz="8" w:space="0"/>
            </w:tcBorders>
            <w:noWrap w:val="0"/>
            <w:vAlign w:val="center"/>
          </w:tcPr>
          <w:p w14:paraId="0B5B57CA">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项目进展情况</w:t>
            </w:r>
          </w:p>
        </w:tc>
        <w:tc>
          <w:tcPr>
            <w:tcW w:w="1165" w:type="dxa"/>
            <w:tcBorders>
              <w:top w:val="nil"/>
              <w:left w:val="single" w:color="000000" w:sz="8" w:space="0"/>
              <w:bottom w:val="single" w:color="000000" w:sz="8" w:space="0"/>
              <w:right w:val="single" w:color="000000" w:sz="8" w:space="0"/>
            </w:tcBorders>
            <w:noWrap w:val="0"/>
            <w:vAlign w:val="center"/>
          </w:tcPr>
          <w:p w14:paraId="1E1B420D">
            <w:pPr>
              <w:jc w:val="center"/>
              <w:rPr>
                <w:rFonts w:eastAsia="宋体"/>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218F1092">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0B176DEC">
            <w:pPr>
              <w:jc w:val="center"/>
              <w:rPr>
                <w:rFonts w:eastAsia="宋体"/>
                <w:color w:val="auto"/>
                <w:sz w:val="21"/>
                <w:szCs w:val="21"/>
                <w:highlight w:val="none"/>
              </w:rPr>
            </w:pPr>
          </w:p>
        </w:tc>
      </w:tr>
      <w:tr w14:paraId="4BBA522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3616C7E">
            <w:pPr>
              <w:widowControl/>
              <w:jc w:val="center"/>
              <w:textAlignment w:val="center"/>
              <w:rPr>
                <w:rFonts w:hint="default" w:eastAsia="宋体"/>
                <w:color w:val="auto"/>
                <w:sz w:val="21"/>
                <w:szCs w:val="21"/>
                <w:highlight w:val="none"/>
                <w:lang w:val="en-US" w:eastAsia="zh-CN"/>
              </w:rPr>
            </w:pPr>
            <w:r>
              <w:rPr>
                <w:rFonts w:hint="eastAsia" w:eastAsia="宋体"/>
                <w:color w:val="auto"/>
                <w:kern w:val="0"/>
                <w:sz w:val="21"/>
                <w:szCs w:val="21"/>
                <w:highlight w:val="none"/>
                <w:lang w:val="en-US" w:eastAsia="zh-CN" w:bidi="ar"/>
              </w:rPr>
              <w:t>11</w:t>
            </w:r>
          </w:p>
        </w:tc>
        <w:tc>
          <w:tcPr>
            <w:tcW w:w="4426" w:type="dxa"/>
            <w:tcBorders>
              <w:top w:val="nil"/>
              <w:left w:val="single" w:color="000000" w:sz="8" w:space="0"/>
              <w:bottom w:val="single" w:color="000000" w:sz="8" w:space="0"/>
              <w:right w:val="single" w:color="000000" w:sz="8" w:space="0"/>
            </w:tcBorders>
            <w:noWrap w:val="0"/>
            <w:vAlign w:val="center"/>
          </w:tcPr>
          <w:p w14:paraId="4F99599D">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项目验收情况</w:t>
            </w:r>
          </w:p>
        </w:tc>
        <w:tc>
          <w:tcPr>
            <w:tcW w:w="1165" w:type="dxa"/>
            <w:tcBorders>
              <w:top w:val="nil"/>
              <w:left w:val="single" w:color="000000" w:sz="8" w:space="0"/>
              <w:bottom w:val="single" w:color="000000" w:sz="8" w:space="0"/>
              <w:right w:val="single" w:color="000000" w:sz="8" w:space="0"/>
            </w:tcBorders>
            <w:noWrap w:val="0"/>
            <w:vAlign w:val="center"/>
          </w:tcPr>
          <w:p w14:paraId="3D55BA9C">
            <w:pPr>
              <w:jc w:val="center"/>
              <w:rPr>
                <w:rFonts w:eastAsia="宋体"/>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7DF8ABCF">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15FC7966">
            <w:pPr>
              <w:jc w:val="center"/>
              <w:rPr>
                <w:rFonts w:eastAsia="宋体"/>
                <w:color w:val="auto"/>
                <w:sz w:val="21"/>
                <w:szCs w:val="21"/>
                <w:highlight w:val="none"/>
              </w:rPr>
            </w:pPr>
          </w:p>
        </w:tc>
      </w:tr>
      <w:tr w14:paraId="6E6F4E8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010F32D">
            <w:pPr>
              <w:widowControl/>
              <w:jc w:val="center"/>
              <w:textAlignment w:val="center"/>
              <w:rPr>
                <w:rFonts w:hint="eastAsia" w:eastAsia="宋体"/>
                <w:color w:val="auto"/>
                <w:sz w:val="21"/>
                <w:szCs w:val="21"/>
                <w:highlight w:val="none"/>
                <w:lang w:eastAsia="zh-CN"/>
              </w:rPr>
            </w:pPr>
            <w:r>
              <w:rPr>
                <w:rFonts w:eastAsia="宋体"/>
                <w:color w:val="auto"/>
                <w:kern w:val="0"/>
                <w:sz w:val="21"/>
                <w:szCs w:val="21"/>
                <w:highlight w:val="none"/>
                <w:lang w:bidi="ar"/>
              </w:rPr>
              <w:t>1</w:t>
            </w:r>
            <w:r>
              <w:rPr>
                <w:rFonts w:hint="eastAsia" w:eastAsia="宋体"/>
                <w:color w:val="auto"/>
                <w:kern w:val="0"/>
                <w:sz w:val="21"/>
                <w:szCs w:val="21"/>
                <w:highlight w:val="none"/>
                <w:lang w:val="en-US" w:eastAsia="zh-CN" w:bidi="ar"/>
              </w:rPr>
              <w:t>2</w:t>
            </w:r>
          </w:p>
        </w:tc>
        <w:tc>
          <w:tcPr>
            <w:tcW w:w="4426" w:type="dxa"/>
            <w:tcBorders>
              <w:top w:val="nil"/>
              <w:left w:val="single" w:color="000000" w:sz="8" w:space="0"/>
              <w:bottom w:val="single" w:color="000000" w:sz="8" w:space="0"/>
              <w:right w:val="single" w:color="000000" w:sz="8" w:space="0"/>
            </w:tcBorders>
            <w:noWrap w:val="0"/>
            <w:vAlign w:val="center"/>
          </w:tcPr>
          <w:p w14:paraId="107FBA2F">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项目审批（核准、备案</w:t>
            </w:r>
            <w:r>
              <w:rPr>
                <w:rFonts w:hint="default" w:eastAsia="宋体"/>
                <w:color w:val="auto"/>
                <w:kern w:val="0"/>
                <w:sz w:val="21"/>
                <w:szCs w:val="21"/>
                <w:highlight w:val="none"/>
                <w:lang w:bidi="ar"/>
              </w:rPr>
              <w:t>、立项</w:t>
            </w:r>
            <w:r>
              <w:rPr>
                <w:rFonts w:eastAsia="宋体"/>
                <w:color w:val="auto"/>
                <w:kern w:val="0"/>
                <w:sz w:val="21"/>
                <w:szCs w:val="21"/>
                <w:highlight w:val="none"/>
                <w:lang w:bidi="ar"/>
              </w:rPr>
              <w:t>）文号</w:t>
            </w:r>
          </w:p>
        </w:tc>
        <w:tc>
          <w:tcPr>
            <w:tcW w:w="1165" w:type="dxa"/>
            <w:tcBorders>
              <w:top w:val="nil"/>
              <w:left w:val="single" w:color="000000" w:sz="8" w:space="0"/>
              <w:bottom w:val="single" w:color="000000" w:sz="8" w:space="0"/>
              <w:right w:val="single" w:color="000000" w:sz="8" w:space="0"/>
            </w:tcBorders>
            <w:noWrap w:val="0"/>
            <w:vAlign w:val="center"/>
          </w:tcPr>
          <w:p w14:paraId="2C178AA9">
            <w:pPr>
              <w:jc w:val="center"/>
              <w:rPr>
                <w:rFonts w:eastAsia="宋体"/>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5BFD7FB1">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32F28667">
            <w:pPr>
              <w:jc w:val="center"/>
              <w:rPr>
                <w:rFonts w:eastAsia="宋体"/>
                <w:color w:val="auto"/>
                <w:sz w:val="21"/>
                <w:szCs w:val="21"/>
                <w:highlight w:val="none"/>
              </w:rPr>
            </w:pPr>
          </w:p>
        </w:tc>
      </w:tr>
      <w:tr w14:paraId="3084478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E4084F0">
            <w:pPr>
              <w:widowControl/>
              <w:jc w:val="center"/>
              <w:textAlignment w:val="center"/>
              <w:rPr>
                <w:rFonts w:hint="eastAsia" w:eastAsia="宋体"/>
                <w:color w:val="auto"/>
                <w:kern w:val="0"/>
                <w:sz w:val="21"/>
                <w:szCs w:val="21"/>
                <w:highlight w:val="none"/>
                <w:lang w:eastAsia="zh-CN" w:bidi="ar"/>
              </w:rPr>
            </w:pPr>
            <w:r>
              <w:rPr>
                <w:rFonts w:hint="default" w:eastAsia="宋体"/>
                <w:color w:val="auto"/>
                <w:kern w:val="0"/>
                <w:sz w:val="21"/>
                <w:szCs w:val="21"/>
                <w:highlight w:val="none"/>
                <w:lang w:bidi="ar"/>
              </w:rPr>
              <w:t>1</w:t>
            </w:r>
            <w:r>
              <w:rPr>
                <w:rFonts w:hint="eastAsia" w:eastAsia="宋体"/>
                <w:color w:val="auto"/>
                <w:kern w:val="0"/>
                <w:sz w:val="21"/>
                <w:szCs w:val="21"/>
                <w:highlight w:val="none"/>
                <w:lang w:val="en-US" w:eastAsia="zh-CN" w:bidi="ar"/>
              </w:rPr>
              <w:t>3</w:t>
            </w:r>
          </w:p>
        </w:tc>
        <w:tc>
          <w:tcPr>
            <w:tcW w:w="4426" w:type="dxa"/>
            <w:tcBorders>
              <w:top w:val="nil"/>
              <w:left w:val="single" w:color="000000" w:sz="8" w:space="0"/>
              <w:bottom w:val="single" w:color="000000" w:sz="8" w:space="0"/>
              <w:right w:val="single" w:color="000000" w:sz="8" w:space="0"/>
            </w:tcBorders>
            <w:noWrap w:val="0"/>
            <w:vAlign w:val="center"/>
          </w:tcPr>
          <w:p w14:paraId="0512075A">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初步设计概算批复及文号</w:t>
            </w:r>
          </w:p>
        </w:tc>
        <w:tc>
          <w:tcPr>
            <w:tcW w:w="1165" w:type="dxa"/>
            <w:tcBorders>
              <w:top w:val="nil"/>
              <w:left w:val="single" w:color="000000" w:sz="8" w:space="0"/>
              <w:bottom w:val="single" w:color="000000" w:sz="8" w:space="0"/>
              <w:right w:val="single" w:color="000000" w:sz="8" w:space="0"/>
            </w:tcBorders>
            <w:noWrap w:val="0"/>
            <w:vAlign w:val="center"/>
          </w:tcPr>
          <w:p w14:paraId="7FC615BC">
            <w:pPr>
              <w:jc w:val="center"/>
              <w:rPr>
                <w:rFonts w:eastAsia="宋体"/>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279BB98F">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3D8A546C">
            <w:pPr>
              <w:jc w:val="center"/>
              <w:rPr>
                <w:rFonts w:eastAsia="宋体"/>
                <w:color w:val="auto"/>
                <w:sz w:val="21"/>
                <w:szCs w:val="21"/>
                <w:highlight w:val="none"/>
              </w:rPr>
            </w:pPr>
          </w:p>
        </w:tc>
      </w:tr>
      <w:tr w14:paraId="5E66D70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BB47E92">
            <w:pPr>
              <w:widowControl/>
              <w:jc w:val="center"/>
              <w:textAlignment w:val="center"/>
              <w:rPr>
                <w:rFonts w:hint="eastAsia" w:eastAsia="宋体"/>
                <w:color w:val="auto"/>
                <w:kern w:val="0"/>
                <w:sz w:val="21"/>
                <w:szCs w:val="21"/>
                <w:highlight w:val="none"/>
                <w:lang w:eastAsia="zh-CN" w:bidi="ar"/>
              </w:rPr>
            </w:pPr>
            <w:r>
              <w:rPr>
                <w:rFonts w:hint="default" w:eastAsia="宋体"/>
                <w:color w:val="auto"/>
                <w:kern w:val="0"/>
                <w:sz w:val="21"/>
                <w:szCs w:val="21"/>
                <w:highlight w:val="none"/>
                <w:lang w:bidi="ar"/>
              </w:rPr>
              <w:t>1</w:t>
            </w:r>
            <w:r>
              <w:rPr>
                <w:rFonts w:hint="eastAsia" w:eastAsia="宋体"/>
                <w:color w:val="auto"/>
                <w:kern w:val="0"/>
                <w:sz w:val="21"/>
                <w:szCs w:val="21"/>
                <w:highlight w:val="none"/>
                <w:lang w:val="en-US" w:eastAsia="zh-CN" w:bidi="ar"/>
              </w:rPr>
              <w:t>4</w:t>
            </w:r>
          </w:p>
        </w:tc>
        <w:tc>
          <w:tcPr>
            <w:tcW w:w="4426" w:type="dxa"/>
            <w:tcBorders>
              <w:top w:val="nil"/>
              <w:left w:val="single" w:color="000000" w:sz="8" w:space="0"/>
              <w:bottom w:val="single" w:color="000000" w:sz="8" w:space="0"/>
              <w:right w:val="single" w:color="000000" w:sz="8" w:space="0"/>
            </w:tcBorders>
            <w:noWrap w:val="0"/>
            <w:vAlign w:val="center"/>
          </w:tcPr>
          <w:p w14:paraId="46AD300C">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可研</w:t>
            </w:r>
            <w:r>
              <w:rPr>
                <w:rFonts w:eastAsia="宋体"/>
                <w:color w:val="auto"/>
                <w:kern w:val="0"/>
                <w:sz w:val="21"/>
                <w:szCs w:val="21"/>
                <w:highlight w:val="none"/>
                <w:lang w:bidi="ar"/>
              </w:rPr>
              <w:t>批复情况及文号</w:t>
            </w:r>
          </w:p>
        </w:tc>
        <w:tc>
          <w:tcPr>
            <w:tcW w:w="1165" w:type="dxa"/>
            <w:tcBorders>
              <w:top w:val="nil"/>
              <w:left w:val="single" w:color="000000" w:sz="8" w:space="0"/>
              <w:bottom w:val="single" w:color="000000" w:sz="8" w:space="0"/>
              <w:right w:val="single" w:color="000000" w:sz="8" w:space="0"/>
            </w:tcBorders>
            <w:noWrap w:val="0"/>
            <w:vAlign w:val="center"/>
          </w:tcPr>
          <w:p w14:paraId="1D58EB82">
            <w:pPr>
              <w:jc w:val="center"/>
              <w:rPr>
                <w:rFonts w:eastAsia="宋体"/>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028DD1DB">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05EC7D87">
            <w:pPr>
              <w:jc w:val="center"/>
              <w:rPr>
                <w:rFonts w:eastAsia="宋体"/>
                <w:color w:val="auto"/>
                <w:sz w:val="21"/>
                <w:szCs w:val="21"/>
                <w:highlight w:val="none"/>
              </w:rPr>
            </w:pPr>
          </w:p>
        </w:tc>
      </w:tr>
      <w:tr w14:paraId="50B9EFF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751CA9B">
            <w:pPr>
              <w:widowControl/>
              <w:jc w:val="center"/>
              <w:textAlignment w:val="center"/>
              <w:rPr>
                <w:rFonts w:hint="eastAsia" w:eastAsia="宋体"/>
                <w:color w:val="auto"/>
                <w:sz w:val="21"/>
                <w:szCs w:val="21"/>
                <w:highlight w:val="none"/>
                <w:lang w:eastAsia="zh-CN"/>
              </w:rPr>
            </w:pPr>
            <w:r>
              <w:rPr>
                <w:rFonts w:eastAsia="宋体"/>
                <w:color w:val="auto"/>
                <w:kern w:val="0"/>
                <w:sz w:val="21"/>
                <w:szCs w:val="21"/>
                <w:highlight w:val="none"/>
                <w:lang w:bidi="ar"/>
              </w:rPr>
              <w:t>1</w:t>
            </w:r>
            <w:r>
              <w:rPr>
                <w:rFonts w:hint="eastAsia" w:eastAsia="宋体"/>
                <w:color w:val="auto"/>
                <w:kern w:val="0"/>
                <w:sz w:val="21"/>
                <w:szCs w:val="21"/>
                <w:highlight w:val="none"/>
                <w:lang w:val="en-US" w:eastAsia="zh-CN" w:bidi="ar"/>
              </w:rPr>
              <w:t>5</w:t>
            </w:r>
          </w:p>
        </w:tc>
        <w:tc>
          <w:tcPr>
            <w:tcW w:w="4426" w:type="dxa"/>
            <w:tcBorders>
              <w:top w:val="nil"/>
              <w:left w:val="single" w:color="000000" w:sz="8" w:space="0"/>
              <w:bottom w:val="single" w:color="000000" w:sz="8" w:space="0"/>
              <w:right w:val="single" w:color="000000" w:sz="8" w:space="0"/>
            </w:tcBorders>
            <w:noWrap w:val="0"/>
            <w:vAlign w:val="center"/>
          </w:tcPr>
          <w:p w14:paraId="09BCBB75">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土地批复情况及文号</w:t>
            </w:r>
          </w:p>
        </w:tc>
        <w:tc>
          <w:tcPr>
            <w:tcW w:w="1165" w:type="dxa"/>
            <w:tcBorders>
              <w:top w:val="nil"/>
              <w:left w:val="single" w:color="000000" w:sz="8" w:space="0"/>
              <w:bottom w:val="single" w:color="000000" w:sz="8" w:space="0"/>
              <w:right w:val="single" w:color="000000" w:sz="8" w:space="0"/>
            </w:tcBorders>
            <w:noWrap w:val="0"/>
            <w:vAlign w:val="center"/>
          </w:tcPr>
          <w:p w14:paraId="156CAE87">
            <w:pPr>
              <w:jc w:val="center"/>
              <w:rPr>
                <w:rFonts w:eastAsia="宋体"/>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7B9DFE57">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2A8A9E55">
            <w:pPr>
              <w:jc w:val="center"/>
              <w:rPr>
                <w:rFonts w:eastAsia="宋体"/>
                <w:color w:val="auto"/>
                <w:sz w:val="21"/>
                <w:szCs w:val="21"/>
                <w:highlight w:val="none"/>
              </w:rPr>
            </w:pPr>
          </w:p>
        </w:tc>
      </w:tr>
      <w:tr w14:paraId="302400A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54020C9">
            <w:pPr>
              <w:widowControl/>
              <w:jc w:val="center"/>
              <w:textAlignment w:val="center"/>
              <w:rPr>
                <w:rFonts w:hint="eastAsia" w:eastAsia="宋体"/>
                <w:color w:val="auto"/>
                <w:sz w:val="21"/>
                <w:szCs w:val="21"/>
                <w:highlight w:val="none"/>
                <w:lang w:eastAsia="zh-CN"/>
              </w:rPr>
            </w:pPr>
            <w:r>
              <w:rPr>
                <w:rFonts w:eastAsia="宋体"/>
                <w:color w:val="auto"/>
                <w:kern w:val="0"/>
                <w:sz w:val="21"/>
                <w:szCs w:val="21"/>
                <w:highlight w:val="none"/>
                <w:lang w:bidi="ar"/>
              </w:rPr>
              <w:t>1</w:t>
            </w:r>
            <w:r>
              <w:rPr>
                <w:rFonts w:hint="eastAsia" w:eastAsia="宋体"/>
                <w:color w:val="auto"/>
                <w:kern w:val="0"/>
                <w:sz w:val="21"/>
                <w:szCs w:val="21"/>
                <w:highlight w:val="none"/>
                <w:lang w:val="en-US" w:eastAsia="zh-CN" w:bidi="ar"/>
              </w:rPr>
              <w:t>6</w:t>
            </w:r>
          </w:p>
        </w:tc>
        <w:tc>
          <w:tcPr>
            <w:tcW w:w="4426" w:type="dxa"/>
            <w:tcBorders>
              <w:top w:val="nil"/>
              <w:left w:val="single" w:color="000000" w:sz="8" w:space="0"/>
              <w:bottom w:val="single" w:color="000000" w:sz="8" w:space="0"/>
              <w:right w:val="single" w:color="000000" w:sz="8" w:space="0"/>
            </w:tcBorders>
            <w:noWrap w:val="0"/>
            <w:vAlign w:val="center"/>
          </w:tcPr>
          <w:p w14:paraId="29B60D55">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环评意见及文号</w:t>
            </w:r>
          </w:p>
        </w:tc>
        <w:tc>
          <w:tcPr>
            <w:tcW w:w="1165" w:type="dxa"/>
            <w:tcBorders>
              <w:top w:val="nil"/>
              <w:left w:val="single" w:color="000000" w:sz="8" w:space="0"/>
              <w:bottom w:val="single" w:color="000000" w:sz="8" w:space="0"/>
              <w:right w:val="single" w:color="000000" w:sz="8" w:space="0"/>
            </w:tcBorders>
            <w:noWrap w:val="0"/>
            <w:vAlign w:val="center"/>
          </w:tcPr>
          <w:p w14:paraId="108C2FE1">
            <w:pPr>
              <w:jc w:val="center"/>
              <w:rPr>
                <w:rFonts w:eastAsia="宋体"/>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7D85FB55">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4BC34CC2">
            <w:pPr>
              <w:jc w:val="center"/>
              <w:rPr>
                <w:rFonts w:eastAsia="宋体"/>
                <w:color w:val="auto"/>
                <w:sz w:val="21"/>
                <w:szCs w:val="21"/>
                <w:highlight w:val="none"/>
              </w:rPr>
            </w:pPr>
          </w:p>
        </w:tc>
      </w:tr>
      <w:tr w14:paraId="352D6C8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2438041">
            <w:pPr>
              <w:widowControl/>
              <w:jc w:val="center"/>
              <w:textAlignment w:val="center"/>
              <w:rPr>
                <w:rFonts w:hint="eastAsia" w:eastAsia="宋体"/>
                <w:color w:val="auto"/>
                <w:sz w:val="21"/>
                <w:szCs w:val="21"/>
                <w:highlight w:val="none"/>
                <w:lang w:eastAsia="zh-CN"/>
              </w:rPr>
            </w:pPr>
            <w:r>
              <w:rPr>
                <w:rFonts w:eastAsia="宋体"/>
                <w:color w:val="auto"/>
                <w:kern w:val="0"/>
                <w:sz w:val="21"/>
                <w:szCs w:val="21"/>
                <w:highlight w:val="none"/>
                <w:lang w:bidi="ar"/>
              </w:rPr>
              <w:t>1</w:t>
            </w:r>
            <w:r>
              <w:rPr>
                <w:rFonts w:hint="eastAsia" w:eastAsia="宋体"/>
                <w:color w:val="auto"/>
                <w:kern w:val="0"/>
                <w:sz w:val="21"/>
                <w:szCs w:val="21"/>
                <w:highlight w:val="none"/>
                <w:lang w:val="en-US" w:eastAsia="zh-CN" w:bidi="ar"/>
              </w:rPr>
              <w:t>7</w:t>
            </w:r>
          </w:p>
        </w:tc>
        <w:tc>
          <w:tcPr>
            <w:tcW w:w="4426" w:type="dxa"/>
            <w:tcBorders>
              <w:top w:val="nil"/>
              <w:left w:val="single" w:color="000000" w:sz="8" w:space="0"/>
              <w:bottom w:val="single" w:color="000000" w:sz="8" w:space="0"/>
              <w:right w:val="single" w:color="000000" w:sz="8" w:space="0"/>
            </w:tcBorders>
            <w:noWrap w:val="0"/>
            <w:vAlign w:val="center"/>
          </w:tcPr>
          <w:p w14:paraId="22B77649">
            <w:pPr>
              <w:widowControl/>
              <w:jc w:val="center"/>
              <w:textAlignment w:val="center"/>
              <w:rPr>
                <w:rFonts w:eastAsia="宋体"/>
                <w:color w:val="auto"/>
                <w:sz w:val="21"/>
                <w:szCs w:val="21"/>
                <w:highlight w:val="none"/>
              </w:rPr>
            </w:pPr>
            <w:r>
              <w:rPr>
                <w:rFonts w:eastAsia="宋体"/>
                <w:color w:val="auto"/>
                <w:kern w:val="0"/>
                <w:sz w:val="21"/>
                <w:szCs w:val="21"/>
                <w:highlight w:val="none"/>
                <w:lang w:bidi="ar"/>
              </w:rPr>
              <w:t>规划手续</w:t>
            </w:r>
          </w:p>
        </w:tc>
        <w:tc>
          <w:tcPr>
            <w:tcW w:w="1165" w:type="dxa"/>
            <w:tcBorders>
              <w:top w:val="nil"/>
              <w:left w:val="single" w:color="000000" w:sz="8" w:space="0"/>
              <w:bottom w:val="single" w:color="000000" w:sz="8" w:space="0"/>
              <w:right w:val="single" w:color="000000" w:sz="8" w:space="0"/>
            </w:tcBorders>
            <w:noWrap w:val="0"/>
            <w:vAlign w:val="center"/>
          </w:tcPr>
          <w:p w14:paraId="41984B17">
            <w:pPr>
              <w:jc w:val="center"/>
              <w:rPr>
                <w:rFonts w:eastAsia="宋体"/>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441D0E1B">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2026BEF4">
            <w:pPr>
              <w:jc w:val="center"/>
              <w:rPr>
                <w:rFonts w:eastAsia="宋体"/>
                <w:color w:val="auto"/>
                <w:sz w:val="21"/>
                <w:szCs w:val="21"/>
                <w:highlight w:val="none"/>
              </w:rPr>
            </w:pPr>
          </w:p>
        </w:tc>
      </w:tr>
      <w:tr w14:paraId="658E5D80">
        <w:tblPrEx>
          <w:tblCellMar>
            <w:top w:w="0" w:type="dxa"/>
            <w:left w:w="108" w:type="dxa"/>
            <w:bottom w:w="0" w:type="dxa"/>
            <w:right w:w="108" w:type="dxa"/>
          </w:tblCellMar>
        </w:tblPrEx>
        <w:trPr>
          <w:trHeight w:val="90"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DEE15F5">
            <w:pPr>
              <w:widowControl/>
              <w:jc w:val="center"/>
              <w:textAlignment w:val="center"/>
              <w:rPr>
                <w:rFonts w:hint="eastAsia" w:eastAsia="宋体"/>
                <w:color w:val="auto"/>
                <w:kern w:val="0"/>
                <w:sz w:val="21"/>
                <w:szCs w:val="21"/>
                <w:highlight w:val="none"/>
                <w:lang w:eastAsia="zh-CN" w:bidi="ar"/>
              </w:rPr>
            </w:pPr>
            <w:r>
              <w:rPr>
                <w:rFonts w:eastAsia="宋体"/>
                <w:color w:val="auto"/>
                <w:kern w:val="0"/>
                <w:sz w:val="21"/>
                <w:szCs w:val="21"/>
                <w:highlight w:val="none"/>
                <w:lang w:bidi="ar"/>
              </w:rPr>
              <w:t>1</w:t>
            </w:r>
            <w:r>
              <w:rPr>
                <w:rFonts w:hint="eastAsia" w:eastAsia="宋体"/>
                <w:color w:val="auto"/>
                <w:kern w:val="0"/>
                <w:sz w:val="21"/>
                <w:szCs w:val="21"/>
                <w:highlight w:val="none"/>
                <w:lang w:val="en-US" w:eastAsia="zh-CN" w:bidi="ar"/>
              </w:rPr>
              <w:t>8</w:t>
            </w:r>
          </w:p>
        </w:tc>
        <w:tc>
          <w:tcPr>
            <w:tcW w:w="4426" w:type="dxa"/>
            <w:tcBorders>
              <w:top w:val="nil"/>
              <w:left w:val="single" w:color="000000" w:sz="8" w:space="0"/>
              <w:bottom w:val="single" w:color="000000" w:sz="8" w:space="0"/>
              <w:right w:val="single" w:color="000000" w:sz="8" w:space="0"/>
            </w:tcBorders>
            <w:noWrap w:val="0"/>
            <w:vAlign w:val="center"/>
          </w:tcPr>
          <w:p w14:paraId="5B819F09">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施工许可证时间</w:t>
            </w:r>
          </w:p>
        </w:tc>
        <w:tc>
          <w:tcPr>
            <w:tcW w:w="1165" w:type="dxa"/>
            <w:tcBorders>
              <w:top w:val="nil"/>
              <w:left w:val="single" w:color="000000" w:sz="8" w:space="0"/>
              <w:bottom w:val="single" w:color="000000" w:sz="8" w:space="0"/>
              <w:right w:val="single" w:color="000000" w:sz="8" w:space="0"/>
            </w:tcBorders>
            <w:noWrap w:val="0"/>
            <w:vAlign w:val="center"/>
          </w:tcPr>
          <w:p w14:paraId="27C469B2">
            <w:pPr>
              <w:jc w:val="center"/>
              <w:rPr>
                <w:rFonts w:eastAsia="宋体"/>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57D3924D">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13191444">
            <w:pPr>
              <w:jc w:val="center"/>
              <w:rPr>
                <w:rFonts w:eastAsia="宋体"/>
                <w:color w:val="auto"/>
                <w:sz w:val="21"/>
                <w:szCs w:val="21"/>
                <w:highlight w:val="none"/>
              </w:rPr>
            </w:pPr>
          </w:p>
        </w:tc>
      </w:tr>
      <w:tr w14:paraId="5544152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3956E47">
            <w:pPr>
              <w:widowControl/>
              <w:jc w:val="center"/>
              <w:textAlignment w:val="center"/>
              <w:rPr>
                <w:rFonts w:hint="eastAsia" w:eastAsia="宋体"/>
                <w:color w:val="auto"/>
                <w:kern w:val="0"/>
                <w:sz w:val="21"/>
                <w:szCs w:val="21"/>
                <w:highlight w:val="none"/>
                <w:lang w:eastAsia="zh-CN" w:bidi="ar"/>
              </w:rPr>
            </w:pPr>
            <w:r>
              <w:rPr>
                <w:rFonts w:eastAsia="宋体"/>
                <w:color w:val="auto"/>
                <w:kern w:val="0"/>
                <w:sz w:val="21"/>
                <w:szCs w:val="21"/>
                <w:highlight w:val="none"/>
                <w:lang w:bidi="ar"/>
              </w:rPr>
              <w:t>1</w:t>
            </w:r>
            <w:r>
              <w:rPr>
                <w:rFonts w:hint="eastAsia" w:eastAsia="宋体"/>
                <w:color w:val="auto"/>
                <w:kern w:val="0"/>
                <w:sz w:val="21"/>
                <w:szCs w:val="21"/>
                <w:highlight w:val="none"/>
                <w:lang w:val="en-US" w:eastAsia="zh-CN" w:bidi="ar"/>
              </w:rPr>
              <w:t>9</w:t>
            </w:r>
          </w:p>
        </w:tc>
        <w:tc>
          <w:tcPr>
            <w:tcW w:w="4426" w:type="dxa"/>
            <w:tcBorders>
              <w:top w:val="nil"/>
              <w:left w:val="single" w:color="000000" w:sz="8" w:space="0"/>
              <w:bottom w:val="single" w:color="000000" w:sz="8" w:space="0"/>
              <w:right w:val="single" w:color="000000" w:sz="8" w:space="0"/>
            </w:tcBorders>
            <w:noWrap w:val="0"/>
            <w:vAlign w:val="center"/>
          </w:tcPr>
          <w:p w14:paraId="16C2D59F">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开工令</w:t>
            </w:r>
            <w:r>
              <w:rPr>
                <w:rFonts w:hint="default" w:eastAsia="宋体"/>
                <w:color w:val="auto"/>
                <w:kern w:val="0"/>
                <w:sz w:val="21"/>
                <w:szCs w:val="21"/>
                <w:highlight w:val="none"/>
                <w:lang w:bidi="ar"/>
              </w:rPr>
              <w:t>开工</w:t>
            </w:r>
            <w:r>
              <w:rPr>
                <w:rFonts w:eastAsia="宋体"/>
                <w:color w:val="auto"/>
                <w:kern w:val="0"/>
                <w:sz w:val="21"/>
                <w:szCs w:val="21"/>
                <w:highlight w:val="none"/>
                <w:lang w:bidi="ar"/>
              </w:rPr>
              <w:t>时间</w:t>
            </w:r>
          </w:p>
        </w:tc>
        <w:tc>
          <w:tcPr>
            <w:tcW w:w="1165" w:type="dxa"/>
            <w:tcBorders>
              <w:top w:val="nil"/>
              <w:left w:val="single" w:color="000000" w:sz="8" w:space="0"/>
              <w:bottom w:val="single" w:color="000000" w:sz="8" w:space="0"/>
              <w:right w:val="single" w:color="000000" w:sz="8" w:space="0"/>
            </w:tcBorders>
            <w:noWrap w:val="0"/>
            <w:vAlign w:val="center"/>
          </w:tcPr>
          <w:p w14:paraId="0537CF6D">
            <w:pPr>
              <w:jc w:val="center"/>
              <w:rPr>
                <w:rFonts w:eastAsia="宋体"/>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5C8AF960">
            <w:pPr>
              <w:jc w:val="center"/>
              <w:rPr>
                <w:rFonts w:eastAsia="宋体"/>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69F517CA">
            <w:pPr>
              <w:jc w:val="center"/>
              <w:rPr>
                <w:rFonts w:eastAsia="宋体"/>
                <w:color w:val="auto"/>
                <w:sz w:val="21"/>
                <w:szCs w:val="21"/>
                <w:highlight w:val="none"/>
              </w:rPr>
            </w:pPr>
          </w:p>
        </w:tc>
      </w:tr>
      <w:tr w14:paraId="06CAC48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9E8BD21">
            <w:pPr>
              <w:widowControl/>
              <w:jc w:val="center"/>
              <w:textAlignment w:val="center"/>
              <w:rPr>
                <w:rFonts w:eastAsia="宋体"/>
                <w:b/>
                <w:bCs/>
                <w:color w:val="auto"/>
                <w:sz w:val="21"/>
                <w:szCs w:val="21"/>
                <w:highlight w:val="none"/>
              </w:rPr>
            </w:pPr>
            <w:r>
              <w:rPr>
                <w:rFonts w:eastAsia="宋体"/>
                <w:b/>
                <w:bCs/>
                <w:color w:val="auto"/>
                <w:kern w:val="0"/>
                <w:sz w:val="21"/>
                <w:szCs w:val="21"/>
                <w:highlight w:val="none"/>
                <w:lang w:bidi="ar"/>
              </w:rPr>
              <w:t>二</w:t>
            </w:r>
          </w:p>
        </w:tc>
        <w:tc>
          <w:tcPr>
            <w:tcW w:w="4426" w:type="dxa"/>
            <w:tcBorders>
              <w:top w:val="nil"/>
              <w:left w:val="single" w:color="000000" w:sz="8" w:space="0"/>
              <w:bottom w:val="single" w:color="000000" w:sz="8" w:space="0"/>
              <w:right w:val="single" w:color="000000" w:sz="8" w:space="0"/>
            </w:tcBorders>
            <w:noWrap w:val="0"/>
            <w:vAlign w:val="center"/>
          </w:tcPr>
          <w:p w14:paraId="2D3A1D2B">
            <w:pPr>
              <w:widowControl/>
              <w:jc w:val="center"/>
              <w:textAlignment w:val="center"/>
              <w:rPr>
                <w:rFonts w:eastAsia="宋体"/>
                <w:b/>
                <w:bCs/>
                <w:color w:val="auto"/>
                <w:sz w:val="21"/>
                <w:szCs w:val="21"/>
                <w:highlight w:val="none"/>
              </w:rPr>
            </w:pPr>
            <w:r>
              <w:rPr>
                <w:rFonts w:eastAsia="宋体"/>
                <w:b/>
                <w:bCs/>
                <w:color w:val="auto"/>
                <w:kern w:val="0"/>
                <w:sz w:val="21"/>
                <w:szCs w:val="21"/>
                <w:highlight w:val="none"/>
                <w:lang w:bidi="ar"/>
              </w:rPr>
              <w:t>项目产出及绩效指标</w:t>
            </w:r>
          </w:p>
        </w:tc>
        <w:tc>
          <w:tcPr>
            <w:tcW w:w="1165" w:type="dxa"/>
            <w:tcBorders>
              <w:top w:val="nil"/>
              <w:left w:val="single" w:color="000000" w:sz="8" w:space="0"/>
              <w:bottom w:val="single" w:color="000000" w:sz="8" w:space="0"/>
              <w:right w:val="single" w:color="000000" w:sz="8" w:space="0"/>
            </w:tcBorders>
            <w:noWrap w:val="0"/>
            <w:vAlign w:val="center"/>
          </w:tcPr>
          <w:p w14:paraId="342CEB7E">
            <w:pPr>
              <w:jc w:val="center"/>
              <w:rPr>
                <w:rFonts w:eastAsia="宋体"/>
                <w:b/>
                <w:bCs/>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513E1AE3">
            <w:pPr>
              <w:jc w:val="center"/>
              <w:rPr>
                <w:rFonts w:eastAsia="宋体"/>
                <w:b/>
                <w:bCs/>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6166B1BD">
            <w:pPr>
              <w:jc w:val="center"/>
              <w:rPr>
                <w:rFonts w:eastAsia="宋体"/>
                <w:b/>
                <w:bCs/>
                <w:color w:val="auto"/>
                <w:sz w:val="21"/>
                <w:szCs w:val="21"/>
                <w:highlight w:val="none"/>
              </w:rPr>
            </w:pPr>
          </w:p>
        </w:tc>
      </w:tr>
      <w:tr w14:paraId="5B2FEA0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E1EFAF7">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1</w:t>
            </w:r>
          </w:p>
        </w:tc>
        <w:tc>
          <w:tcPr>
            <w:tcW w:w="4426" w:type="dxa"/>
            <w:tcBorders>
              <w:top w:val="nil"/>
              <w:left w:val="single" w:color="000000" w:sz="8" w:space="0"/>
              <w:bottom w:val="single" w:color="000000" w:sz="8" w:space="0"/>
              <w:right w:val="single" w:color="000000" w:sz="8" w:space="0"/>
            </w:tcBorders>
            <w:noWrap w:val="0"/>
            <w:vAlign w:val="center"/>
          </w:tcPr>
          <w:p w14:paraId="6A5182E0">
            <w:pPr>
              <w:widowControl/>
              <w:jc w:val="center"/>
              <w:textAlignment w:val="center"/>
              <w:rPr>
                <w:rFonts w:hint="default" w:eastAsia="宋体"/>
                <w:b/>
                <w:bCs/>
                <w:color w:val="auto"/>
                <w:kern w:val="0"/>
                <w:sz w:val="21"/>
                <w:szCs w:val="21"/>
                <w:highlight w:val="none"/>
                <w:lang w:bidi="ar"/>
              </w:rPr>
            </w:pPr>
            <w:r>
              <w:rPr>
                <w:rFonts w:eastAsia="宋体"/>
                <w:b/>
                <w:bCs/>
                <w:color w:val="auto"/>
                <w:kern w:val="0"/>
                <w:sz w:val="21"/>
                <w:szCs w:val="21"/>
                <w:highlight w:val="none"/>
                <w:lang w:bidi="ar"/>
              </w:rPr>
              <w:t>财政统筹资金</w:t>
            </w:r>
            <w:r>
              <w:rPr>
                <w:rFonts w:hint="default" w:eastAsia="宋体"/>
                <w:b/>
                <w:bCs/>
                <w:color w:val="auto"/>
                <w:kern w:val="0"/>
                <w:sz w:val="21"/>
                <w:szCs w:val="21"/>
                <w:highlight w:val="none"/>
                <w:lang w:bidi="ar"/>
              </w:rPr>
              <w:t>项目</w:t>
            </w:r>
          </w:p>
        </w:tc>
        <w:tc>
          <w:tcPr>
            <w:tcW w:w="1165" w:type="dxa"/>
            <w:tcBorders>
              <w:top w:val="nil"/>
              <w:left w:val="single" w:color="000000" w:sz="8" w:space="0"/>
              <w:bottom w:val="single" w:color="000000" w:sz="8" w:space="0"/>
              <w:right w:val="single" w:color="000000" w:sz="8" w:space="0"/>
            </w:tcBorders>
            <w:noWrap w:val="0"/>
            <w:vAlign w:val="center"/>
          </w:tcPr>
          <w:p w14:paraId="79161561">
            <w:pPr>
              <w:jc w:val="center"/>
              <w:rPr>
                <w:rFonts w:eastAsia="宋体"/>
                <w:b/>
                <w:bCs/>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5486E166">
            <w:pPr>
              <w:jc w:val="center"/>
              <w:rPr>
                <w:rFonts w:eastAsia="宋体"/>
                <w:b/>
                <w:bCs/>
                <w:color w:val="auto"/>
                <w:sz w:val="21"/>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3454D5E0">
            <w:pPr>
              <w:jc w:val="center"/>
              <w:rPr>
                <w:rFonts w:eastAsia="宋体"/>
                <w:b/>
                <w:bCs/>
                <w:color w:val="auto"/>
                <w:sz w:val="21"/>
                <w:szCs w:val="21"/>
                <w:highlight w:val="none"/>
              </w:rPr>
            </w:pPr>
          </w:p>
        </w:tc>
      </w:tr>
      <w:tr w14:paraId="126BC7F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65BF4AC">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1DB5C6FA">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工程变更率</w:t>
            </w:r>
          </w:p>
        </w:tc>
        <w:tc>
          <w:tcPr>
            <w:tcW w:w="1165" w:type="dxa"/>
            <w:tcBorders>
              <w:top w:val="nil"/>
              <w:left w:val="single" w:color="000000" w:sz="8" w:space="0"/>
              <w:bottom w:val="single" w:color="000000" w:sz="8" w:space="0"/>
              <w:right w:val="single" w:color="000000" w:sz="8" w:space="0"/>
            </w:tcBorders>
            <w:noWrap w:val="0"/>
            <w:vAlign w:val="center"/>
          </w:tcPr>
          <w:p w14:paraId="60FBA962">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p>
        </w:tc>
        <w:tc>
          <w:tcPr>
            <w:tcW w:w="1544" w:type="dxa"/>
            <w:tcBorders>
              <w:top w:val="nil"/>
              <w:left w:val="single" w:color="000000" w:sz="8" w:space="0"/>
              <w:bottom w:val="single" w:color="000000" w:sz="8" w:space="0"/>
              <w:right w:val="single" w:color="000000" w:sz="8" w:space="0"/>
            </w:tcBorders>
            <w:noWrap w:val="0"/>
            <w:vAlign w:val="center"/>
          </w:tcPr>
          <w:p w14:paraId="13987C6A">
            <w:pPr>
              <w:jc w:val="center"/>
              <w:rPr>
                <w:rFonts w:hint="default"/>
                <w:color w:val="auto"/>
                <w:kern w:val="0"/>
                <w:szCs w:val="21"/>
                <w:highlight w:val="none"/>
              </w:rPr>
            </w:pPr>
            <w:r>
              <w:rPr>
                <w:rFonts w:hint="default"/>
                <w:color w:val="auto"/>
                <w:kern w:val="0"/>
                <w:szCs w:val="21"/>
                <w:highlight w:val="none"/>
              </w:rPr>
              <w:t>≤15</w:t>
            </w:r>
          </w:p>
        </w:tc>
        <w:tc>
          <w:tcPr>
            <w:tcW w:w="1276" w:type="dxa"/>
            <w:tcBorders>
              <w:top w:val="nil"/>
              <w:left w:val="single" w:color="000000" w:sz="8" w:space="0"/>
              <w:bottom w:val="single" w:color="000000" w:sz="8" w:space="0"/>
              <w:right w:val="single" w:color="000000" w:sz="8" w:space="0"/>
            </w:tcBorders>
            <w:noWrap w:val="0"/>
            <w:vAlign w:val="center"/>
          </w:tcPr>
          <w:p w14:paraId="007ABED6">
            <w:pPr>
              <w:jc w:val="center"/>
              <w:rPr>
                <w:rFonts w:hint="default"/>
                <w:color w:val="auto"/>
                <w:kern w:val="0"/>
                <w:szCs w:val="21"/>
                <w:highlight w:val="none"/>
                <w:lang w:val="en-US" w:eastAsia="zh-CN"/>
              </w:rPr>
            </w:pPr>
            <w:r>
              <w:rPr>
                <w:rFonts w:hint="default"/>
                <w:color w:val="auto"/>
                <w:kern w:val="0"/>
                <w:szCs w:val="21"/>
                <w:highlight w:val="none"/>
              </w:rPr>
              <w:t>≤15</w:t>
            </w:r>
          </w:p>
        </w:tc>
      </w:tr>
      <w:tr w14:paraId="048655B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E641BE8">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693E5B28">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项目建设过程中重大环境污染事项发生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762A6E61">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single" w:color="000000" w:sz="8" w:space="0"/>
              <w:bottom w:val="single" w:color="000000" w:sz="8" w:space="0"/>
              <w:right w:val="single" w:color="000000" w:sz="8" w:space="0"/>
            </w:tcBorders>
            <w:noWrap w:val="0"/>
            <w:vAlign w:val="center"/>
          </w:tcPr>
          <w:p w14:paraId="64318A3A">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3B8FF981">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7D31955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3FC4CFF">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3</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3090D9A3">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阶段性工程验收合格率</w:t>
            </w:r>
          </w:p>
        </w:tc>
        <w:tc>
          <w:tcPr>
            <w:tcW w:w="1165" w:type="dxa"/>
            <w:tcBorders>
              <w:top w:val="nil"/>
              <w:left w:val="single" w:color="000000" w:sz="8" w:space="0"/>
              <w:bottom w:val="single" w:color="000000" w:sz="8" w:space="0"/>
              <w:right w:val="single" w:color="000000" w:sz="8" w:space="0"/>
            </w:tcBorders>
            <w:noWrap w:val="0"/>
            <w:vAlign w:val="center"/>
          </w:tcPr>
          <w:p w14:paraId="0F23CB10">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p>
        </w:tc>
        <w:tc>
          <w:tcPr>
            <w:tcW w:w="1544" w:type="dxa"/>
            <w:tcBorders>
              <w:top w:val="nil"/>
              <w:left w:val="single" w:color="000000" w:sz="8" w:space="0"/>
              <w:bottom w:val="single" w:color="000000" w:sz="8" w:space="0"/>
              <w:right w:val="single" w:color="000000" w:sz="8" w:space="0"/>
            </w:tcBorders>
            <w:noWrap w:val="0"/>
            <w:vAlign w:val="center"/>
          </w:tcPr>
          <w:p w14:paraId="78A5257E">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07EB6BF4">
            <w:pPr>
              <w:jc w:val="center"/>
              <w:rPr>
                <w:rFonts w:hint="eastAsia"/>
                <w:color w:val="auto"/>
                <w:kern w:val="0"/>
                <w:szCs w:val="21"/>
                <w:highlight w:val="none"/>
                <w:lang w:val="en-US" w:eastAsia="zh-CN"/>
              </w:rPr>
            </w:pPr>
            <w:r>
              <w:rPr>
                <w:rFonts w:hint="eastAsia"/>
                <w:color w:val="auto"/>
                <w:kern w:val="0"/>
                <w:szCs w:val="21"/>
                <w:highlight w:val="none"/>
                <w:lang w:val="en-US" w:eastAsia="zh-CN"/>
              </w:rPr>
              <w:t>100</w:t>
            </w:r>
          </w:p>
        </w:tc>
      </w:tr>
      <w:tr w14:paraId="0D21501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F4E6F13">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4</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3DA55B03">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项目在建过程发生重大质量事故</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1D39A056">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single" w:color="000000" w:sz="8" w:space="0"/>
              <w:bottom w:val="single" w:color="000000" w:sz="8" w:space="0"/>
              <w:right w:val="single" w:color="000000" w:sz="8" w:space="0"/>
            </w:tcBorders>
            <w:noWrap w:val="0"/>
            <w:vAlign w:val="center"/>
          </w:tcPr>
          <w:p w14:paraId="5947DCA1">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2CD806CC">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3F4C698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1994C50">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(5)</w:t>
            </w:r>
          </w:p>
        </w:tc>
        <w:tc>
          <w:tcPr>
            <w:tcW w:w="4426" w:type="dxa"/>
            <w:tcBorders>
              <w:top w:val="nil"/>
              <w:left w:val="single" w:color="000000" w:sz="8" w:space="0"/>
              <w:bottom w:val="single" w:color="000000" w:sz="8" w:space="0"/>
              <w:right w:val="single" w:color="000000" w:sz="8" w:space="0"/>
            </w:tcBorders>
            <w:noWrap w:val="0"/>
            <w:vAlign w:val="center"/>
          </w:tcPr>
          <w:p w14:paraId="32FB5252">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拉动固定资产投资</w:t>
            </w:r>
          </w:p>
        </w:tc>
        <w:tc>
          <w:tcPr>
            <w:tcW w:w="1165" w:type="dxa"/>
            <w:tcBorders>
              <w:top w:val="nil"/>
              <w:left w:val="single" w:color="000000" w:sz="8" w:space="0"/>
              <w:bottom w:val="single" w:color="000000" w:sz="8" w:space="0"/>
              <w:right w:val="single" w:color="000000" w:sz="8" w:space="0"/>
            </w:tcBorders>
            <w:noWrap w:val="0"/>
            <w:vAlign w:val="center"/>
          </w:tcPr>
          <w:p w14:paraId="0C7BA2B3">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3C4B9E41">
            <w:pPr>
              <w:jc w:val="center"/>
              <w:rPr>
                <w:rFonts w:hint="default"/>
                <w:color w:val="auto"/>
                <w:kern w:val="0"/>
                <w:szCs w:val="21"/>
                <w:highlight w:val="none"/>
                <w:lang w:val="en-US" w:eastAsia="zh-CN"/>
              </w:rPr>
            </w:pPr>
            <w:r>
              <w:rPr>
                <w:rFonts w:hint="default"/>
                <w:color w:val="auto"/>
                <w:kern w:val="0"/>
                <w:szCs w:val="21"/>
                <w:highlight w:val="none"/>
              </w:rPr>
              <w:t>≥5</w:t>
            </w:r>
            <w:r>
              <w:rPr>
                <w:rFonts w:hint="eastAsia"/>
                <w:color w:val="auto"/>
                <w:kern w:val="0"/>
                <w:szCs w:val="21"/>
                <w:highlight w:val="none"/>
                <w:lang w:val="en-US" w:eastAsia="zh-CN"/>
              </w:rPr>
              <w:t>0000</w:t>
            </w:r>
          </w:p>
        </w:tc>
        <w:tc>
          <w:tcPr>
            <w:tcW w:w="1276" w:type="dxa"/>
            <w:tcBorders>
              <w:top w:val="nil"/>
              <w:left w:val="single" w:color="000000" w:sz="8" w:space="0"/>
              <w:bottom w:val="single" w:color="000000" w:sz="8" w:space="0"/>
              <w:right w:val="single" w:color="000000" w:sz="8" w:space="0"/>
            </w:tcBorders>
            <w:noWrap w:val="0"/>
            <w:vAlign w:val="center"/>
          </w:tcPr>
          <w:p w14:paraId="4A00F1D1">
            <w:pPr>
              <w:jc w:val="center"/>
              <w:rPr>
                <w:rFonts w:hint="default"/>
                <w:color w:val="auto"/>
                <w:kern w:val="0"/>
                <w:szCs w:val="21"/>
                <w:highlight w:val="none"/>
                <w:lang w:val="en-US" w:eastAsia="zh-CN"/>
              </w:rPr>
            </w:pPr>
            <w:r>
              <w:rPr>
                <w:rFonts w:hint="eastAsia"/>
                <w:color w:val="auto"/>
                <w:kern w:val="0"/>
                <w:szCs w:val="21"/>
                <w:highlight w:val="none"/>
                <w:lang w:val="en-US" w:eastAsia="zh-CN"/>
              </w:rPr>
              <w:t>52958</w:t>
            </w:r>
          </w:p>
        </w:tc>
      </w:tr>
      <w:tr w14:paraId="045E7AA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AC31573">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(6)</w:t>
            </w:r>
          </w:p>
        </w:tc>
        <w:tc>
          <w:tcPr>
            <w:tcW w:w="4426" w:type="dxa"/>
            <w:tcBorders>
              <w:top w:val="nil"/>
              <w:left w:val="single" w:color="000000" w:sz="8" w:space="0"/>
              <w:bottom w:val="single" w:color="000000" w:sz="8" w:space="0"/>
              <w:right w:val="single" w:color="000000" w:sz="8" w:space="0"/>
            </w:tcBorders>
            <w:noWrap w:val="0"/>
            <w:vAlign w:val="center"/>
          </w:tcPr>
          <w:p w14:paraId="6972D329">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支持公共基础设施项目建成后年度服务人数</w:t>
            </w:r>
          </w:p>
        </w:tc>
        <w:tc>
          <w:tcPr>
            <w:tcW w:w="1165" w:type="dxa"/>
            <w:tcBorders>
              <w:top w:val="nil"/>
              <w:left w:val="single" w:color="000000" w:sz="8" w:space="0"/>
              <w:bottom w:val="single" w:color="000000" w:sz="8" w:space="0"/>
              <w:right w:val="single" w:color="000000" w:sz="8" w:space="0"/>
            </w:tcBorders>
            <w:noWrap w:val="0"/>
            <w:vAlign w:val="center"/>
          </w:tcPr>
          <w:p w14:paraId="4C92EB73">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人次</w:t>
            </w:r>
          </w:p>
        </w:tc>
        <w:tc>
          <w:tcPr>
            <w:tcW w:w="1544" w:type="dxa"/>
            <w:tcBorders>
              <w:top w:val="nil"/>
              <w:left w:val="single" w:color="000000" w:sz="8" w:space="0"/>
              <w:bottom w:val="single" w:color="000000" w:sz="8" w:space="0"/>
              <w:right w:val="single" w:color="000000" w:sz="8" w:space="0"/>
            </w:tcBorders>
            <w:noWrap w:val="0"/>
            <w:vAlign w:val="center"/>
          </w:tcPr>
          <w:p w14:paraId="3E13D330">
            <w:pPr>
              <w:jc w:val="center"/>
              <w:rPr>
                <w:rFonts w:hint="default"/>
                <w:color w:val="auto"/>
                <w:kern w:val="0"/>
                <w:szCs w:val="21"/>
                <w:highlight w:val="none"/>
              </w:rPr>
            </w:pPr>
            <w:r>
              <w:rPr>
                <w:rFonts w:hint="default"/>
                <w:color w:val="auto"/>
                <w:kern w:val="0"/>
                <w:szCs w:val="21"/>
                <w:highlight w:val="none"/>
              </w:rPr>
              <w:t>≥1000万</w:t>
            </w:r>
          </w:p>
        </w:tc>
        <w:tc>
          <w:tcPr>
            <w:tcW w:w="1276" w:type="dxa"/>
            <w:tcBorders>
              <w:top w:val="nil"/>
              <w:left w:val="single" w:color="000000" w:sz="8" w:space="0"/>
              <w:bottom w:val="single" w:color="000000" w:sz="8" w:space="0"/>
              <w:right w:val="single" w:color="000000" w:sz="8" w:space="0"/>
            </w:tcBorders>
            <w:noWrap w:val="0"/>
            <w:vAlign w:val="center"/>
          </w:tcPr>
          <w:p w14:paraId="1953FF5E">
            <w:pPr>
              <w:jc w:val="center"/>
              <w:rPr>
                <w:rFonts w:hint="eastAsia"/>
                <w:color w:val="auto"/>
                <w:kern w:val="0"/>
                <w:szCs w:val="21"/>
                <w:highlight w:val="none"/>
                <w:lang w:val="en-US" w:eastAsia="zh-CN"/>
              </w:rPr>
            </w:pPr>
            <w:r>
              <w:rPr>
                <w:rFonts w:hint="default"/>
                <w:color w:val="auto"/>
                <w:kern w:val="0"/>
                <w:szCs w:val="21"/>
                <w:highlight w:val="none"/>
              </w:rPr>
              <w:t>20100</w:t>
            </w:r>
            <w:r>
              <w:rPr>
                <w:rFonts w:hint="eastAsia"/>
                <w:color w:val="auto"/>
                <w:kern w:val="0"/>
                <w:szCs w:val="21"/>
                <w:highlight w:val="none"/>
                <w:lang w:val="en-US" w:eastAsia="zh-CN"/>
              </w:rPr>
              <w:t>万</w:t>
            </w:r>
          </w:p>
        </w:tc>
      </w:tr>
      <w:tr w14:paraId="5371D80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4930B7A">
            <w:pPr>
              <w:jc w:val="center"/>
              <w:rPr>
                <w:rFonts w:eastAsia="宋体"/>
                <w:b/>
                <w:bCs/>
                <w:color w:val="auto"/>
                <w:sz w:val="21"/>
                <w:szCs w:val="21"/>
                <w:highlight w:val="none"/>
              </w:rPr>
            </w:pPr>
            <w:r>
              <w:rPr>
                <w:rFonts w:hint="default" w:eastAsia="宋体"/>
                <w:b/>
                <w:bCs/>
                <w:color w:val="auto"/>
                <w:sz w:val="21"/>
                <w:szCs w:val="21"/>
                <w:highlight w:val="none"/>
              </w:rPr>
              <w:t>2</w:t>
            </w:r>
          </w:p>
        </w:tc>
        <w:tc>
          <w:tcPr>
            <w:tcW w:w="4426" w:type="dxa"/>
            <w:tcBorders>
              <w:top w:val="nil"/>
              <w:left w:val="single" w:color="000000" w:sz="8" w:space="0"/>
              <w:bottom w:val="single" w:color="000000" w:sz="8" w:space="0"/>
              <w:right w:val="single" w:color="000000" w:sz="8" w:space="0"/>
            </w:tcBorders>
            <w:noWrap w:val="0"/>
            <w:vAlign w:val="center"/>
          </w:tcPr>
          <w:p w14:paraId="54A1EAA0">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落实重大战略和重大事项其他建设项目</w:t>
            </w:r>
          </w:p>
        </w:tc>
        <w:tc>
          <w:tcPr>
            <w:tcW w:w="1165" w:type="dxa"/>
            <w:tcBorders>
              <w:top w:val="nil"/>
              <w:left w:val="single" w:color="000000" w:sz="8" w:space="0"/>
              <w:bottom w:val="single" w:color="000000" w:sz="8" w:space="0"/>
              <w:right w:val="single" w:color="000000" w:sz="8" w:space="0"/>
            </w:tcBorders>
            <w:noWrap w:val="0"/>
            <w:vAlign w:val="center"/>
          </w:tcPr>
          <w:p w14:paraId="60EB90F2">
            <w:pPr>
              <w:jc w:val="center"/>
              <w:rPr>
                <w:rFonts w:eastAsia="宋体"/>
                <w:b/>
                <w:bCs/>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5200AEBD">
            <w:pPr>
              <w:jc w:val="center"/>
              <w:rPr>
                <w:rFonts w:hint="default"/>
                <w:color w:val="auto"/>
                <w:kern w:val="0"/>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2BA99926">
            <w:pPr>
              <w:jc w:val="center"/>
              <w:rPr>
                <w:rFonts w:hint="default"/>
                <w:color w:val="auto"/>
                <w:kern w:val="0"/>
                <w:szCs w:val="21"/>
                <w:highlight w:val="none"/>
              </w:rPr>
            </w:pPr>
          </w:p>
        </w:tc>
      </w:tr>
      <w:tr w14:paraId="04FF154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DB8FF11">
            <w:pPr>
              <w:widowControl/>
              <w:jc w:val="center"/>
              <w:textAlignment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5557F59E">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工程变更率</w:t>
            </w:r>
          </w:p>
        </w:tc>
        <w:tc>
          <w:tcPr>
            <w:tcW w:w="1165" w:type="dxa"/>
            <w:tcBorders>
              <w:top w:val="nil"/>
              <w:left w:val="single" w:color="000000" w:sz="8" w:space="0"/>
              <w:bottom w:val="single" w:color="000000" w:sz="8" w:space="0"/>
              <w:right w:val="single" w:color="000000" w:sz="8" w:space="0"/>
            </w:tcBorders>
            <w:noWrap w:val="0"/>
            <w:vAlign w:val="center"/>
          </w:tcPr>
          <w:p w14:paraId="6E1127A7">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p>
        </w:tc>
        <w:tc>
          <w:tcPr>
            <w:tcW w:w="1544" w:type="dxa"/>
            <w:tcBorders>
              <w:top w:val="nil"/>
              <w:left w:val="single" w:color="000000" w:sz="8" w:space="0"/>
              <w:bottom w:val="single" w:color="000000" w:sz="8" w:space="0"/>
              <w:right w:val="single" w:color="000000" w:sz="8" w:space="0"/>
            </w:tcBorders>
            <w:noWrap w:val="0"/>
            <w:vAlign w:val="center"/>
          </w:tcPr>
          <w:p w14:paraId="18C7F6E0">
            <w:pPr>
              <w:jc w:val="center"/>
              <w:rPr>
                <w:rFonts w:hint="default"/>
                <w:color w:val="auto"/>
                <w:kern w:val="0"/>
                <w:szCs w:val="21"/>
                <w:highlight w:val="none"/>
              </w:rPr>
            </w:pPr>
            <w:r>
              <w:rPr>
                <w:rFonts w:hint="default"/>
                <w:color w:val="auto"/>
                <w:kern w:val="0"/>
                <w:szCs w:val="21"/>
                <w:highlight w:val="none"/>
              </w:rPr>
              <w:t>≤15</w:t>
            </w:r>
          </w:p>
        </w:tc>
        <w:tc>
          <w:tcPr>
            <w:tcW w:w="1276" w:type="dxa"/>
            <w:tcBorders>
              <w:top w:val="nil"/>
              <w:left w:val="single" w:color="000000" w:sz="8" w:space="0"/>
              <w:bottom w:val="single" w:color="000000" w:sz="8" w:space="0"/>
              <w:right w:val="single" w:color="000000" w:sz="8" w:space="0"/>
            </w:tcBorders>
            <w:noWrap w:val="0"/>
            <w:vAlign w:val="center"/>
          </w:tcPr>
          <w:p w14:paraId="09014217">
            <w:pPr>
              <w:jc w:val="center"/>
              <w:rPr>
                <w:rFonts w:hint="default"/>
                <w:color w:val="auto"/>
                <w:kern w:val="0"/>
                <w:szCs w:val="21"/>
                <w:highlight w:val="none"/>
              </w:rPr>
            </w:pPr>
            <w:r>
              <w:rPr>
                <w:rFonts w:hint="default"/>
                <w:color w:val="auto"/>
                <w:kern w:val="0"/>
                <w:szCs w:val="21"/>
                <w:highlight w:val="none"/>
              </w:rPr>
              <w:t>≤15</w:t>
            </w:r>
          </w:p>
        </w:tc>
      </w:tr>
      <w:tr w14:paraId="492083B3">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4B9498C">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56F16CD5">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项目建设过程中重大环境污染事项发生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3933D5ED">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single" w:color="000000" w:sz="8" w:space="0"/>
              <w:bottom w:val="single" w:color="000000" w:sz="8" w:space="0"/>
              <w:right w:val="single" w:color="000000" w:sz="8" w:space="0"/>
            </w:tcBorders>
            <w:noWrap w:val="0"/>
            <w:vAlign w:val="center"/>
          </w:tcPr>
          <w:p w14:paraId="488398BB">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2D558DE9">
            <w:pPr>
              <w:jc w:val="center"/>
              <w:rPr>
                <w:rFonts w:hint="default"/>
                <w:color w:val="auto"/>
                <w:kern w:val="0"/>
                <w:szCs w:val="21"/>
                <w:highlight w:val="none"/>
                <w:lang w:val="en-US" w:eastAsia="zh-CN"/>
              </w:rPr>
            </w:pPr>
            <w:r>
              <w:rPr>
                <w:rFonts w:hint="eastAsia"/>
                <w:color w:val="auto"/>
                <w:kern w:val="0"/>
                <w:szCs w:val="21"/>
                <w:highlight w:val="none"/>
                <w:lang w:val="en-US" w:eastAsia="zh-CN"/>
              </w:rPr>
              <w:t>0</w:t>
            </w:r>
          </w:p>
        </w:tc>
      </w:tr>
      <w:tr w14:paraId="5740A53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04D02C6">
            <w:pPr>
              <w:jc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(3)</w:t>
            </w:r>
          </w:p>
        </w:tc>
        <w:tc>
          <w:tcPr>
            <w:tcW w:w="4426" w:type="dxa"/>
            <w:tcBorders>
              <w:top w:val="nil"/>
              <w:left w:val="single" w:color="000000" w:sz="8" w:space="0"/>
              <w:bottom w:val="single" w:color="000000" w:sz="8" w:space="0"/>
              <w:right w:val="single" w:color="000000" w:sz="8" w:space="0"/>
            </w:tcBorders>
            <w:noWrap w:val="0"/>
            <w:vAlign w:val="center"/>
          </w:tcPr>
          <w:p w14:paraId="095879C4">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竣工验收合格率</w:t>
            </w:r>
          </w:p>
        </w:tc>
        <w:tc>
          <w:tcPr>
            <w:tcW w:w="1165" w:type="dxa"/>
            <w:tcBorders>
              <w:top w:val="nil"/>
              <w:left w:val="single" w:color="000000" w:sz="8" w:space="0"/>
              <w:bottom w:val="single" w:color="000000" w:sz="8" w:space="0"/>
              <w:right w:val="single" w:color="000000" w:sz="8" w:space="0"/>
            </w:tcBorders>
            <w:noWrap w:val="0"/>
            <w:vAlign w:val="center"/>
          </w:tcPr>
          <w:p w14:paraId="22073DCE">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w:t>
            </w:r>
          </w:p>
        </w:tc>
        <w:tc>
          <w:tcPr>
            <w:tcW w:w="1544" w:type="dxa"/>
            <w:tcBorders>
              <w:top w:val="nil"/>
              <w:left w:val="single" w:color="000000" w:sz="8" w:space="0"/>
              <w:bottom w:val="single" w:color="000000" w:sz="8" w:space="0"/>
              <w:right w:val="single" w:color="000000" w:sz="8" w:space="0"/>
            </w:tcBorders>
            <w:noWrap w:val="0"/>
            <w:vAlign w:val="center"/>
          </w:tcPr>
          <w:p w14:paraId="16EEC24A">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82889F0">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r>
      <w:tr w14:paraId="7ECFE4C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7210D621">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(4)</w:t>
            </w:r>
          </w:p>
        </w:tc>
        <w:tc>
          <w:tcPr>
            <w:tcW w:w="4426" w:type="dxa"/>
            <w:tcBorders>
              <w:top w:val="nil"/>
              <w:left w:val="single" w:color="000000" w:sz="8" w:space="0"/>
              <w:bottom w:val="single" w:color="000000" w:sz="8" w:space="0"/>
              <w:right w:val="single" w:color="000000" w:sz="8" w:space="0"/>
            </w:tcBorders>
            <w:noWrap w:val="0"/>
            <w:vAlign w:val="center"/>
          </w:tcPr>
          <w:p w14:paraId="6AC85E9C">
            <w:pPr>
              <w:widowControl/>
              <w:jc w:val="center"/>
              <w:textAlignment w:val="center"/>
              <w:rPr>
                <w:rFonts w:eastAsia="宋体"/>
                <w:color w:val="auto"/>
                <w:kern w:val="0"/>
                <w:sz w:val="21"/>
                <w:szCs w:val="21"/>
                <w:highlight w:val="none"/>
                <w:lang w:bidi="ar"/>
              </w:rPr>
            </w:pPr>
            <w:r>
              <w:rPr>
                <w:rFonts w:hint="eastAsia" w:eastAsia="宋体"/>
                <w:color w:val="auto"/>
                <w:kern w:val="0"/>
                <w:sz w:val="21"/>
                <w:szCs w:val="21"/>
                <w:highlight w:val="none"/>
                <w:lang w:bidi="ar"/>
              </w:rPr>
              <w:t>2024年项目完工率</w:t>
            </w:r>
          </w:p>
        </w:tc>
        <w:tc>
          <w:tcPr>
            <w:tcW w:w="1165" w:type="dxa"/>
            <w:tcBorders>
              <w:top w:val="nil"/>
              <w:left w:val="single" w:color="000000" w:sz="8" w:space="0"/>
              <w:bottom w:val="single" w:color="000000" w:sz="8" w:space="0"/>
              <w:right w:val="single" w:color="000000" w:sz="8" w:space="0"/>
            </w:tcBorders>
            <w:noWrap w:val="0"/>
            <w:vAlign w:val="center"/>
          </w:tcPr>
          <w:p w14:paraId="75D257A0">
            <w:pPr>
              <w:widowControl/>
              <w:jc w:val="center"/>
              <w:textAlignment w:val="center"/>
              <w:rPr>
                <w:rFonts w:hint="eastAsia" w:eastAsia="宋体"/>
                <w:color w:val="auto"/>
                <w:kern w:val="0"/>
                <w:sz w:val="21"/>
                <w:szCs w:val="21"/>
                <w:highlight w:val="none"/>
                <w:lang w:eastAsia="zh-CN" w:bidi="ar"/>
              </w:rPr>
            </w:pPr>
            <w:r>
              <w:rPr>
                <w:rFonts w:hint="eastAsia"/>
                <w:color w:val="auto"/>
                <w:kern w:val="0"/>
                <w:sz w:val="21"/>
                <w:szCs w:val="21"/>
                <w:highlight w:val="none"/>
                <w:lang w:val="en-US" w:eastAsia="zh-CN" w:bidi="ar"/>
              </w:rPr>
              <w:t>%</w:t>
            </w:r>
          </w:p>
        </w:tc>
        <w:tc>
          <w:tcPr>
            <w:tcW w:w="1544" w:type="dxa"/>
            <w:tcBorders>
              <w:top w:val="nil"/>
              <w:left w:val="single" w:color="000000" w:sz="8" w:space="0"/>
              <w:bottom w:val="single" w:color="000000" w:sz="8" w:space="0"/>
              <w:right w:val="single" w:color="000000" w:sz="8" w:space="0"/>
            </w:tcBorders>
            <w:noWrap w:val="0"/>
            <w:vAlign w:val="center"/>
          </w:tcPr>
          <w:p w14:paraId="796B5605">
            <w:pPr>
              <w:jc w:val="center"/>
              <w:rPr>
                <w:rFonts w:hint="default"/>
                <w:color w:val="auto"/>
                <w:kern w:val="0"/>
                <w:szCs w:val="21"/>
                <w:highlight w:val="none"/>
                <w:lang w:val="en-US" w:eastAsia="zh-CN"/>
              </w:rPr>
            </w:pPr>
            <w:r>
              <w:rPr>
                <w:rFonts w:hint="default"/>
                <w:color w:val="auto"/>
                <w:kern w:val="0"/>
                <w:szCs w:val="21"/>
                <w:highlight w:val="none"/>
              </w:rPr>
              <w:t>≥40</w:t>
            </w:r>
          </w:p>
        </w:tc>
        <w:tc>
          <w:tcPr>
            <w:tcW w:w="1276" w:type="dxa"/>
            <w:tcBorders>
              <w:top w:val="nil"/>
              <w:left w:val="single" w:color="000000" w:sz="8" w:space="0"/>
              <w:bottom w:val="single" w:color="000000" w:sz="8" w:space="0"/>
              <w:right w:val="single" w:color="000000" w:sz="8" w:space="0"/>
            </w:tcBorders>
            <w:noWrap w:val="0"/>
            <w:vAlign w:val="center"/>
          </w:tcPr>
          <w:p w14:paraId="4B8616DB">
            <w:pPr>
              <w:jc w:val="center"/>
              <w:rPr>
                <w:rFonts w:hint="default"/>
                <w:color w:val="auto"/>
                <w:kern w:val="0"/>
                <w:szCs w:val="21"/>
                <w:highlight w:val="none"/>
                <w:lang w:val="en-US"/>
              </w:rPr>
            </w:pPr>
            <w:r>
              <w:rPr>
                <w:rFonts w:hint="eastAsia"/>
                <w:color w:val="auto"/>
                <w:kern w:val="0"/>
                <w:szCs w:val="21"/>
                <w:highlight w:val="none"/>
                <w:lang w:val="en-US" w:eastAsia="zh-CN"/>
              </w:rPr>
              <w:t>42.86</w:t>
            </w:r>
          </w:p>
        </w:tc>
      </w:tr>
      <w:tr w14:paraId="2AE8663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38AEDED">
            <w:pPr>
              <w:jc w:val="center"/>
              <w:rPr>
                <w:rFonts w:eastAsia="宋体"/>
                <w:color w:val="auto"/>
                <w:sz w:val="21"/>
                <w:szCs w:val="21"/>
                <w:highlight w:val="none"/>
              </w:rPr>
            </w:pPr>
            <w:r>
              <w:rPr>
                <w:rFonts w:hint="default" w:eastAsia="宋体"/>
                <w:color w:val="auto"/>
                <w:kern w:val="0"/>
                <w:sz w:val="21"/>
                <w:szCs w:val="21"/>
                <w:highlight w:val="none"/>
                <w:lang w:bidi="ar"/>
              </w:rPr>
              <w:t>(5)</w:t>
            </w:r>
          </w:p>
        </w:tc>
        <w:tc>
          <w:tcPr>
            <w:tcW w:w="4426" w:type="dxa"/>
            <w:tcBorders>
              <w:top w:val="nil"/>
              <w:left w:val="single" w:color="000000" w:sz="8" w:space="0"/>
              <w:bottom w:val="single" w:color="000000" w:sz="8" w:space="0"/>
              <w:right w:val="single" w:color="000000" w:sz="8" w:space="0"/>
            </w:tcBorders>
            <w:noWrap w:val="0"/>
            <w:vAlign w:val="center"/>
          </w:tcPr>
          <w:p w14:paraId="0F9B22EB">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拉动固定资产投资</w:t>
            </w:r>
          </w:p>
        </w:tc>
        <w:tc>
          <w:tcPr>
            <w:tcW w:w="1165" w:type="dxa"/>
            <w:tcBorders>
              <w:top w:val="nil"/>
              <w:left w:val="single" w:color="000000" w:sz="8" w:space="0"/>
              <w:bottom w:val="single" w:color="000000" w:sz="8" w:space="0"/>
              <w:right w:val="single" w:color="000000" w:sz="8" w:space="0"/>
            </w:tcBorders>
            <w:noWrap w:val="0"/>
            <w:vAlign w:val="center"/>
          </w:tcPr>
          <w:p w14:paraId="291C8CBD">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354D02FC">
            <w:pPr>
              <w:jc w:val="center"/>
              <w:rPr>
                <w:rFonts w:hint="default"/>
                <w:color w:val="auto"/>
                <w:kern w:val="0"/>
                <w:szCs w:val="21"/>
                <w:highlight w:val="none"/>
                <w:lang w:val="en-US" w:eastAsia="zh-CN"/>
              </w:rPr>
            </w:pPr>
            <w:r>
              <w:rPr>
                <w:rFonts w:hint="default"/>
                <w:color w:val="auto"/>
                <w:kern w:val="0"/>
                <w:szCs w:val="21"/>
                <w:highlight w:val="none"/>
              </w:rPr>
              <w:t>≥4</w:t>
            </w:r>
            <w:r>
              <w:rPr>
                <w:rFonts w:hint="eastAsia"/>
                <w:color w:val="auto"/>
                <w:kern w:val="0"/>
                <w:szCs w:val="21"/>
                <w:highlight w:val="none"/>
                <w:lang w:val="en-US" w:eastAsia="zh-CN"/>
              </w:rPr>
              <w:t>7000</w:t>
            </w:r>
          </w:p>
        </w:tc>
        <w:tc>
          <w:tcPr>
            <w:tcW w:w="1276" w:type="dxa"/>
            <w:tcBorders>
              <w:top w:val="nil"/>
              <w:left w:val="single" w:color="000000" w:sz="8" w:space="0"/>
              <w:bottom w:val="single" w:color="000000" w:sz="8" w:space="0"/>
              <w:right w:val="single" w:color="000000" w:sz="8" w:space="0"/>
            </w:tcBorders>
            <w:noWrap w:val="0"/>
            <w:vAlign w:val="center"/>
          </w:tcPr>
          <w:p w14:paraId="7B67B38C">
            <w:pPr>
              <w:jc w:val="center"/>
              <w:rPr>
                <w:rFonts w:hint="default"/>
                <w:color w:val="auto"/>
                <w:kern w:val="0"/>
                <w:szCs w:val="21"/>
                <w:highlight w:val="none"/>
              </w:rPr>
            </w:pPr>
            <w:r>
              <w:rPr>
                <w:rFonts w:hint="eastAsia"/>
                <w:color w:val="auto"/>
                <w:kern w:val="0"/>
                <w:szCs w:val="21"/>
                <w:highlight w:val="none"/>
                <w:lang w:val="en-US" w:eastAsia="zh-CN"/>
              </w:rPr>
              <w:t>47</w:t>
            </w:r>
            <w:r>
              <w:rPr>
                <w:rFonts w:hint="default"/>
                <w:color w:val="auto"/>
                <w:kern w:val="0"/>
                <w:szCs w:val="21"/>
                <w:highlight w:val="none"/>
              </w:rPr>
              <w:t>738.87</w:t>
            </w:r>
          </w:p>
        </w:tc>
      </w:tr>
      <w:tr w14:paraId="278116A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9D70064">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(6)</w:t>
            </w:r>
          </w:p>
        </w:tc>
        <w:tc>
          <w:tcPr>
            <w:tcW w:w="4426" w:type="dxa"/>
            <w:tcBorders>
              <w:top w:val="nil"/>
              <w:left w:val="single" w:color="000000" w:sz="8" w:space="0"/>
              <w:bottom w:val="single" w:color="000000" w:sz="8" w:space="0"/>
              <w:right w:val="single" w:color="000000" w:sz="8" w:space="0"/>
            </w:tcBorders>
            <w:noWrap w:val="0"/>
            <w:vAlign w:val="center"/>
          </w:tcPr>
          <w:p w14:paraId="60533DFF">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项目建设过程中重大安全事故发生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6FEB7D7C">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single" w:color="000000" w:sz="8" w:space="0"/>
              <w:bottom w:val="single" w:color="000000" w:sz="8" w:space="0"/>
              <w:right w:val="single" w:color="000000" w:sz="8" w:space="0"/>
            </w:tcBorders>
            <w:noWrap w:val="0"/>
            <w:vAlign w:val="center"/>
          </w:tcPr>
          <w:p w14:paraId="6F733F96">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5952D068">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270CFD9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F2E6CE4">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(7)</w:t>
            </w:r>
          </w:p>
        </w:tc>
        <w:tc>
          <w:tcPr>
            <w:tcW w:w="4426" w:type="dxa"/>
            <w:tcBorders>
              <w:top w:val="nil"/>
              <w:left w:val="single" w:color="000000" w:sz="8" w:space="0"/>
              <w:bottom w:val="single" w:color="000000" w:sz="8" w:space="0"/>
              <w:right w:val="single" w:color="000000" w:sz="8" w:space="0"/>
            </w:tcBorders>
            <w:noWrap w:val="0"/>
            <w:vAlign w:val="center"/>
          </w:tcPr>
          <w:p w14:paraId="0F9FEE88">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w:t>
            </w:r>
            <w:r>
              <w:rPr>
                <w:rFonts w:eastAsia="宋体"/>
                <w:color w:val="auto"/>
                <w:kern w:val="0"/>
                <w:sz w:val="21"/>
                <w:szCs w:val="21"/>
                <w:highlight w:val="none"/>
                <w:lang w:bidi="ar"/>
              </w:rPr>
              <w:t>持续发挥作用</w:t>
            </w:r>
          </w:p>
        </w:tc>
        <w:tc>
          <w:tcPr>
            <w:tcW w:w="1165" w:type="dxa"/>
            <w:tcBorders>
              <w:top w:val="nil"/>
              <w:left w:val="single" w:color="000000" w:sz="8" w:space="0"/>
              <w:bottom w:val="single" w:color="000000" w:sz="8" w:space="0"/>
              <w:right w:val="single" w:color="000000" w:sz="8" w:space="0"/>
            </w:tcBorders>
            <w:noWrap w:val="0"/>
            <w:vAlign w:val="center"/>
          </w:tcPr>
          <w:p w14:paraId="6A7EE2C8">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single" w:color="000000" w:sz="8" w:space="0"/>
              <w:bottom w:val="single" w:color="000000" w:sz="8" w:space="0"/>
              <w:right w:val="single" w:color="000000" w:sz="8" w:space="0"/>
            </w:tcBorders>
            <w:noWrap w:val="0"/>
            <w:vAlign w:val="center"/>
          </w:tcPr>
          <w:p w14:paraId="0F498CEB">
            <w:pPr>
              <w:jc w:val="center"/>
              <w:rPr>
                <w:rFonts w:hint="eastAsia"/>
                <w:color w:val="auto"/>
                <w:kern w:val="0"/>
                <w:szCs w:val="21"/>
                <w:highlight w:val="none"/>
                <w:lang w:val="en-US" w:eastAsia="zh-CN"/>
              </w:rPr>
            </w:pPr>
            <w:r>
              <w:rPr>
                <w:rFonts w:hint="eastAsia"/>
                <w:color w:val="auto"/>
                <w:kern w:val="0"/>
                <w:szCs w:val="21"/>
                <w:highlight w:val="none"/>
                <w:lang w:val="en-US" w:eastAsia="zh-CN"/>
              </w:rPr>
              <w:t>是</w:t>
            </w:r>
          </w:p>
        </w:tc>
        <w:tc>
          <w:tcPr>
            <w:tcW w:w="1276" w:type="dxa"/>
            <w:tcBorders>
              <w:top w:val="nil"/>
              <w:left w:val="single" w:color="000000" w:sz="8" w:space="0"/>
              <w:bottom w:val="single" w:color="000000" w:sz="8" w:space="0"/>
              <w:right w:val="single" w:color="000000" w:sz="8" w:space="0"/>
            </w:tcBorders>
            <w:noWrap w:val="0"/>
            <w:vAlign w:val="center"/>
          </w:tcPr>
          <w:p w14:paraId="1B6135E2">
            <w:pPr>
              <w:jc w:val="center"/>
              <w:rPr>
                <w:rFonts w:hint="default"/>
                <w:color w:val="auto"/>
                <w:kern w:val="0"/>
                <w:szCs w:val="21"/>
                <w:highlight w:val="none"/>
              </w:rPr>
            </w:pPr>
            <w:r>
              <w:rPr>
                <w:rFonts w:hint="eastAsia"/>
                <w:color w:val="auto"/>
                <w:kern w:val="0"/>
                <w:szCs w:val="21"/>
                <w:highlight w:val="none"/>
                <w:lang w:val="en-US" w:eastAsia="zh-CN"/>
              </w:rPr>
              <w:t>是</w:t>
            </w:r>
          </w:p>
        </w:tc>
      </w:tr>
      <w:tr w14:paraId="15D8859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729675BC">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(8)</w:t>
            </w:r>
          </w:p>
        </w:tc>
        <w:tc>
          <w:tcPr>
            <w:tcW w:w="4426" w:type="dxa"/>
            <w:tcBorders>
              <w:top w:val="nil"/>
              <w:left w:val="single" w:color="000000" w:sz="8" w:space="0"/>
              <w:bottom w:val="single" w:color="000000" w:sz="8" w:space="0"/>
              <w:right w:val="single" w:color="000000" w:sz="8" w:space="0"/>
            </w:tcBorders>
            <w:noWrap w:val="0"/>
            <w:vAlign w:val="center"/>
          </w:tcPr>
          <w:p w14:paraId="51C9A56E">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是否提升</w:t>
            </w:r>
            <w:r>
              <w:rPr>
                <w:rFonts w:eastAsia="宋体"/>
                <w:color w:val="auto"/>
                <w:kern w:val="0"/>
                <w:sz w:val="21"/>
                <w:szCs w:val="21"/>
                <w:highlight w:val="none"/>
                <w:lang w:bidi="ar"/>
              </w:rPr>
              <w:t>当地形象影响</w:t>
            </w:r>
          </w:p>
        </w:tc>
        <w:tc>
          <w:tcPr>
            <w:tcW w:w="1165" w:type="dxa"/>
            <w:tcBorders>
              <w:top w:val="nil"/>
              <w:left w:val="single" w:color="000000" w:sz="8" w:space="0"/>
              <w:bottom w:val="single" w:color="000000" w:sz="8" w:space="0"/>
              <w:right w:val="single" w:color="000000" w:sz="8" w:space="0"/>
            </w:tcBorders>
            <w:noWrap w:val="0"/>
            <w:vAlign w:val="center"/>
          </w:tcPr>
          <w:p w14:paraId="692B53C0">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single" w:color="000000" w:sz="8" w:space="0"/>
              <w:bottom w:val="single" w:color="000000" w:sz="8" w:space="0"/>
              <w:right w:val="single" w:color="000000" w:sz="8" w:space="0"/>
            </w:tcBorders>
            <w:noWrap w:val="0"/>
            <w:vAlign w:val="center"/>
          </w:tcPr>
          <w:p w14:paraId="1792BD23">
            <w:pPr>
              <w:jc w:val="center"/>
              <w:rPr>
                <w:rFonts w:hint="default"/>
                <w:color w:val="auto"/>
                <w:kern w:val="0"/>
                <w:szCs w:val="21"/>
                <w:highlight w:val="none"/>
              </w:rPr>
            </w:pPr>
            <w:r>
              <w:rPr>
                <w:rFonts w:hint="eastAsia"/>
                <w:color w:val="auto"/>
                <w:kern w:val="0"/>
                <w:szCs w:val="21"/>
                <w:highlight w:val="none"/>
                <w:lang w:val="en-US" w:eastAsia="zh-CN"/>
              </w:rPr>
              <w:t>是</w:t>
            </w:r>
          </w:p>
        </w:tc>
        <w:tc>
          <w:tcPr>
            <w:tcW w:w="1276" w:type="dxa"/>
            <w:tcBorders>
              <w:top w:val="nil"/>
              <w:left w:val="single" w:color="000000" w:sz="8" w:space="0"/>
              <w:bottom w:val="single" w:color="000000" w:sz="8" w:space="0"/>
              <w:right w:val="single" w:color="000000" w:sz="8" w:space="0"/>
            </w:tcBorders>
            <w:noWrap w:val="0"/>
            <w:vAlign w:val="center"/>
          </w:tcPr>
          <w:p w14:paraId="6655E64B">
            <w:pPr>
              <w:jc w:val="center"/>
              <w:rPr>
                <w:rFonts w:hint="default"/>
                <w:color w:val="auto"/>
                <w:kern w:val="0"/>
                <w:szCs w:val="21"/>
                <w:highlight w:val="none"/>
              </w:rPr>
            </w:pPr>
            <w:r>
              <w:rPr>
                <w:rFonts w:hint="eastAsia"/>
                <w:color w:val="auto"/>
                <w:kern w:val="0"/>
                <w:szCs w:val="21"/>
                <w:highlight w:val="none"/>
                <w:lang w:val="en-US" w:eastAsia="zh-CN"/>
              </w:rPr>
              <w:t>是</w:t>
            </w:r>
          </w:p>
        </w:tc>
      </w:tr>
      <w:tr w14:paraId="2E4193B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955E1C0">
            <w:pPr>
              <w:widowControl/>
              <w:jc w:val="center"/>
              <w:textAlignment w:val="center"/>
              <w:rPr>
                <w:rFonts w:eastAsia="宋体"/>
                <w:b/>
                <w:bCs/>
                <w:color w:val="auto"/>
                <w:kern w:val="0"/>
                <w:sz w:val="21"/>
                <w:szCs w:val="21"/>
                <w:highlight w:val="none"/>
                <w:lang w:bidi="ar"/>
              </w:rPr>
            </w:pPr>
            <w:r>
              <w:rPr>
                <w:rFonts w:hint="default" w:eastAsia="宋体"/>
                <w:b/>
                <w:bCs/>
                <w:color w:val="auto"/>
                <w:kern w:val="0"/>
                <w:sz w:val="21"/>
                <w:szCs w:val="21"/>
                <w:highlight w:val="none"/>
                <w:lang w:bidi="ar"/>
              </w:rPr>
              <w:t>3</w:t>
            </w:r>
          </w:p>
        </w:tc>
        <w:tc>
          <w:tcPr>
            <w:tcW w:w="4426" w:type="dxa"/>
            <w:tcBorders>
              <w:top w:val="nil"/>
              <w:left w:val="single" w:color="000000" w:sz="8" w:space="0"/>
              <w:bottom w:val="single" w:color="000000" w:sz="8" w:space="0"/>
              <w:right w:val="single" w:color="000000" w:sz="8" w:space="0"/>
            </w:tcBorders>
            <w:noWrap w:val="0"/>
            <w:vAlign w:val="center"/>
          </w:tcPr>
          <w:p w14:paraId="58E516E5">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落实有关文件规定奖励资金项目</w:t>
            </w:r>
          </w:p>
        </w:tc>
        <w:tc>
          <w:tcPr>
            <w:tcW w:w="1165" w:type="dxa"/>
            <w:tcBorders>
              <w:top w:val="nil"/>
              <w:left w:val="single" w:color="000000" w:sz="8" w:space="0"/>
              <w:bottom w:val="single" w:color="000000" w:sz="8" w:space="0"/>
              <w:right w:val="single" w:color="000000" w:sz="8" w:space="0"/>
            </w:tcBorders>
            <w:noWrap w:val="0"/>
            <w:vAlign w:val="center"/>
          </w:tcPr>
          <w:p w14:paraId="5B1AA645">
            <w:pPr>
              <w:widowControl/>
              <w:jc w:val="center"/>
              <w:textAlignment w:val="center"/>
              <w:rPr>
                <w:rFonts w:eastAsia="宋体"/>
                <w:color w:val="auto"/>
                <w:kern w:val="0"/>
                <w:sz w:val="21"/>
                <w:szCs w:val="21"/>
                <w:highlight w:val="none"/>
                <w:lang w:bidi="ar"/>
              </w:rPr>
            </w:pPr>
          </w:p>
        </w:tc>
        <w:tc>
          <w:tcPr>
            <w:tcW w:w="1544" w:type="dxa"/>
            <w:tcBorders>
              <w:top w:val="nil"/>
              <w:left w:val="single" w:color="000000" w:sz="8" w:space="0"/>
              <w:bottom w:val="single" w:color="000000" w:sz="8" w:space="0"/>
              <w:right w:val="single" w:color="000000" w:sz="8" w:space="0"/>
            </w:tcBorders>
            <w:noWrap w:val="0"/>
            <w:vAlign w:val="center"/>
          </w:tcPr>
          <w:p w14:paraId="0D1D7857">
            <w:pPr>
              <w:jc w:val="center"/>
              <w:rPr>
                <w:rFonts w:hint="default"/>
                <w:color w:val="auto"/>
                <w:kern w:val="0"/>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7AA8E065">
            <w:pPr>
              <w:jc w:val="center"/>
              <w:rPr>
                <w:rFonts w:hint="default"/>
                <w:color w:val="auto"/>
                <w:kern w:val="0"/>
                <w:szCs w:val="21"/>
                <w:highlight w:val="none"/>
              </w:rPr>
            </w:pPr>
          </w:p>
        </w:tc>
      </w:tr>
      <w:tr w14:paraId="7F38E46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66AA42C">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763F8FF1">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单个</w:t>
            </w:r>
            <w:r>
              <w:rPr>
                <w:rFonts w:hint="default" w:eastAsia="宋体"/>
                <w:color w:val="auto"/>
                <w:kern w:val="0"/>
                <w:sz w:val="21"/>
                <w:szCs w:val="21"/>
                <w:highlight w:val="none"/>
                <w:lang w:bidi="ar"/>
              </w:rPr>
              <w:t>项目</w:t>
            </w:r>
            <w:r>
              <w:rPr>
                <w:rFonts w:eastAsia="宋体"/>
                <w:color w:val="auto"/>
                <w:kern w:val="0"/>
                <w:sz w:val="21"/>
                <w:szCs w:val="21"/>
                <w:highlight w:val="none"/>
                <w:lang w:bidi="ar"/>
              </w:rPr>
              <w:t>奖补金额</w:t>
            </w:r>
          </w:p>
        </w:tc>
        <w:tc>
          <w:tcPr>
            <w:tcW w:w="1165" w:type="dxa"/>
            <w:tcBorders>
              <w:top w:val="nil"/>
              <w:left w:val="single" w:color="000000" w:sz="8" w:space="0"/>
              <w:bottom w:val="single" w:color="000000" w:sz="8" w:space="0"/>
              <w:right w:val="single" w:color="000000" w:sz="8" w:space="0"/>
            </w:tcBorders>
            <w:noWrap w:val="0"/>
            <w:vAlign w:val="center"/>
          </w:tcPr>
          <w:p w14:paraId="1C83588E">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0F238C99">
            <w:pPr>
              <w:jc w:val="center"/>
              <w:rPr>
                <w:rFonts w:hint="default"/>
                <w:color w:val="auto"/>
                <w:kern w:val="0"/>
                <w:szCs w:val="21"/>
                <w:highlight w:val="none"/>
              </w:rPr>
            </w:pPr>
            <w:r>
              <w:rPr>
                <w:rFonts w:hint="default"/>
                <w:color w:val="auto"/>
                <w:kern w:val="0"/>
                <w:szCs w:val="21"/>
                <w:highlight w:val="none"/>
              </w:rPr>
              <w:t>≤200</w:t>
            </w:r>
          </w:p>
        </w:tc>
        <w:tc>
          <w:tcPr>
            <w:tcW w:w="1276" w:type="dxa"/>
            <w:tcBorders>
              <w:top w:val="nil"/>
              <w:left w:val="single" w:color="000000" w:sz="8" w:space="0"/>
              <w:bottom w:val="single" w:color="000000" w:sz="8" w:space="0"/>
              <w:right w:val="single" w:color="000000" w:sz="8" w:space="0"/>
            </w:tcBorders>
            <w:noWrap w:val="0"/>
            <w:vAlign w:val="center"/>
          </w:tcPr>
          <w:p w14:paraId="1FE1F7B4">
            <w:pPr>
              <w:jc w:val="center"/>
              <w:rPr>
                <w:rFonts w:hint="default"/>
                <w:color w:val="auto"/>
                <w:kern w:val="0"/>
                <w:szCs w:val="21"/>
                <w:highlight w:val="none"/>
              </w:rPr>
            </w:pPr>
            <w:r>
              <w:rPr>
                <w:rFonts w:hint="default"/>
                <w:color w:val="auto"/>
                <w:kern w:val="0"/>
                <w:szCs w:val="21"/>
                <w:highlight w:val="none"/>
              </w:rPr>
              <w:t>≤200</w:t>
            </w:r>
          </w:p>
        </w:tc>
      </w:tr>
      <w:tr w14:paraId="59FC0A2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CEC56A6">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0BC2629C">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支持新开工重大项目数量</w:t>
            </w:r>
          </w:p>
        </w:tc>
        <w:tc>
          <w:tcPr>
            <w:tcW w:w="1165" w:type="dxa"/>
            <w:tcBorders>
              <w:top w:val="nil"/>
              <w:left w:val="single" w:color="000000" w:sz="8" w:space="0"/>
              <w:bottom w:val="single" w:color="000000" w:sz="8" w:space="0"/>
              <w:right w:val="single" w:color="000000" w:sz="8" w:space="0"/>
            </w:tcBorders>
            <w:noWrap w:val="0"/>
            <w:vAlign w:val="center"/>
          </w:tcPr>
          <w:p w14:paraId="5A8DE74F">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个</w:t>
            </w:r>
          </w:p>
        </w:tc>
        <w:tc>
          <w:tcPr>
            <w:tcW w:w="1544" w:type="dxa"/>
            <w:tcBorders>
              <w:top w:val="nil"/>
              <w:left w:val="single" w:color="000000" w:sz="8" w:space="0"/>
              <w:bottom w:val="single" w:color="000000" w:sz="8" w:space="0"/>
              <w:right w:val="single" w:color="000000" w:sz="8" w:space="0"/>
            </w:tcBorders>
            <w:noWrap w:val="0"/>
            <w:vAlign w:val="center"/>
          </w:tcPr>
          <w:p w14:paraId="0BD85788">
            <w:pPr>
              <w:jc w:val="center"/>
              <w:rPr>
                <w:rFonts w:hint="default"/>
                <w:color w:val="auto"/>
                <w:kern w:val="0"/>
                <w:szCs w:val="21"/>
                <w:highlight w:val="none"/>
              </w:rPr>
            </w:pPr>
            <w:r>
              <w:rPr>
                <w:rFonts w:hint="default"/>
                <w:color w:val="auto"/>
                <w:kern w:val="0"/>
                <w:szCs w:val="21"/>
                <w:highlight w:val="none"/>
              </w:rPr>
              <w:t>≥20</w:t>
            </w:r>
          </w:p>
        </w:tc>
        <w:tc>
          <w:tcPr>
            <w:tcW w:w="1276" w:type="dxa"/>
            <w:tcBorders>
              <w:top w:val="nil"/>
              <w:left w:val="single" w:color="000000" w:sz="8" w:space="0"/>
              <w:bottom w:val="single" w:color="000000" w:sz="8" w:space="0"/>
              <w:right w:val="single" w:color="000000" w:sz="8" w:space="0"/>
            </w:tcBorders>
            <w:noWrap w:val="0"/>
            <w:vAlign w:val="center"/>
          </w:tcPr>
          <w:p w14:paraId="7D8B5CE7">
            <w:pPr>
              <w:jc w:val="center"/>
              <w:rPr>
                <w:rFonts w:hint="default"/>
                <w:color w:val="auto"/>
                <w:kern w:val="0"/>
                <w:szCs w:val="21"/>
                <w:highlight w:val="none"/>
                <w:lang w:val="en-US" w:eastAsia="zh-CN"/>
              </w:rPr>
            </w:pPr>
            <w:r>
              <w:rPr>
                <w:rFonts w:hint="eastAsia"/>
                <w:color w:val="auto"/>
                <w:kern w:val="0"/>
                <w:szCs w:val="21"/>
                <w:highlight w:val="none"/>
                <w:lang w:val="en-US" w:eastAsia="zh-CN"/>
              </w:rPr>
              <w:t>20</w:t>
            </w:r>
          </w:p>
        </w:tc>
      </w:tr>
      <w:tr w14:paraId="5A303CA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D647BDE">
            <w:pPr>
              <w:widowControl/>
              <w:jc w:val="center"/>
              <w:textAlignment w:val="center"/>
              <w:rPr>
                <w:rFonts w:eastAsia="宋体"/>
                <w:b/>
                <w:bCs/>
                <w:color w:val="auto"/>
                <w:kern w:val="0"/>
                <w:sz w:val="21"/>
                <w:szCs w:val="21"/>
                <w:highlight w:val="none"/>
                <w:lang w:bidi="ar"/>
              </w:rPr>
            </w:pPr>
            <w:r>
              <w:rPr>
                <w:rFonts w:hint="default" w:eastAsia="宋体"/>
                <w:b/>
                <w:bCs/>
                <w:color w:val="auto"/>
                <w:kern w:val="0"/>
                <w:sz w:val="21"/>
                <w:szCs w:val="21"/>
                <w:highlight w:val="none"/>
                <w:lang w:bidi="ar"/>
              </w:rPr>
              <w:t>4</w:t>
            </w:r>
          </w:p>
        </w:tc>
        <w:tc>
          <w:tcPr>
            <w:tcW w:w="4426" w:type="dxa"/>
            <w:tcBorders>
              <w:top w:val="nil"/>
              <w:left w:val="single" w:color="000000" w:sz="8" w:space="0"/>
              <w:bottom w:val="single" w:color="000000" w:sz="8" w:space="0"/>
              <w:right w:val="single" w:color="000000" w:sz="8" w:space="0"/>
            </w:tcBorders>
            <w:noWrap w:val="0"/>
            <w:vAlign w:val="center"/>
          </w:tcPr>
          <w:p w14:paraId="559DFFF1">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前期费用支出项目</w:t>
            </w:r>
          </w:p>
        </w:tc>
        <w:tc>
          <w:tcPr>
            <w:tcW w:w="1165" w:type="dxa"/>
            <w:tcBorders>
              <w:top w:val="nil"/>
              <w:left w:val="single" w:color="000000" w:sz="8" w:space="0"/>
              <w:bottom w:val="single" w:color="000000" w:sz="8" w:space="0"/>
              <w:right w:val="single" w:color="000000" w:sz="8" w:space="0"/>
            </w:tcBorders>
            <w:noWrap w:val="0"/>
            <w:vAlign w:val="center"/>
          </w:tcPr>
          <w:p w14:paraId="3C311489">
            <w:pPr>
              <w:widowControl/>
              <w:jc w:val="center"/>
              <w:textAlignment w:val="center"/>
              <w:rPr>
                <w:rFonts w:eastAsia="宋体"/>
                <w:color w:val="auto"/>
                <w:kern w:val="0"/>
                <w:sz w:val="21"/>
                <w:szCs w:val="21"/>
                <w:highlight w:val="none"/>
                <w:lang w:bidi="ar"/>
              </w:rPr>
            </w:pPr>
          </w:p>
        </w:tc>
        <w:tc>
          <w:tcPr>
            <w:tcW w:w="1544" w:type="dxa"/>
            <w:tcBorders>
              <w:top w:val="nil"/>
              <w:left w:val="single" w:color="000000" w:sz="8" w:space="0"/>
              <w:bottom w:val="single" w:color="000000" w:sz="8" w:space="0"/>
              <w:right w:val="single" w:color="000000" w:sz="8" w:space="0"/>
            </w:tcBorders>
            <w:noWrap w:val="0"/>
            <w:vAlign w:val="center"/>
          </w:tcPr>
          <w:p w14:paraId="61E95B94">
            <w:pPr>
              <w:jc w:val="center"/>
              <w:rPr>
                <w:rFonts w:hint="default"/>
                <w:color w:val="auto"/>
                <w:kern w:val="0"/>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3BCED745">
            <w:pPr>
              <w:jc w:val="center"/>
              <w:rPr>
                <w:rFonts w:hint="default"/>
                <w:color w:val="auto"/>
                <w:kern w:val="0"/>
                <w:szCs w:val="21"/>
                <w:highlight w:val="none"/>
              </w:rPr>
            </w:pPr>
          </w:p>
        </w:tc>
      </w:tr>
      <w:tr w14:paraId="116D904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9E2AC9D">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217F180A">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完成成果数量</w:t>
            </w:r>
          </w:p>
        </w:tc>
        <w:tc>
          <w:tcPr>
            <w:tcW w:w="1165" w:type="dxa"/>
            <w:tcBorders>
              <w:top w:val="nil"/>
              <w:left w:val="single" w:color="000000" w:sz="8" w:space="0"/>
              <w:bottom w:val="single" w:color="000000" w:sz="8" w:space="0"/>
              <w:right w:val="single" w:color="000000" w:sz="8" w:space="0"/>
            </w:tcBorders>
            <w:noWrap w:val="0"/>
            <w:vAlign w:val="center"/>
          </w:tcPr>
          <w:p w14:paraId="5B67A818">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个</w:t>
            </w:r>
          </w:p>
        </w:tc>
        <w:tc>
          <w:tcPr>
            <w:tcW w:w="1544" w:type="dxa"/>
            <w:tcBorders>
              <w:top w:val="nil"/>
              <w:left w:val="single" w:color="000000" w:sz="8" w:space="0"/>
              <w:bottom w:val="single" w:color="000000" w:sz="8" w:space="0"/>
              <w:right w:val="single" w:color="000000" w:sz="8" w:space="0"/>
            </w:tcBorders>
            <w:noWrap w:val="0"/>
            <w:vAlign w:val="center"/>
          </w:tcPr>
          <w:p w14:paraId="3C6E8E49">
            <w:pPr>
              <w:jc w:val="center"/>
              <w:rPr>
                <w:rFonts w:hint="default"/>
                <w:color w:val="auto"/>
                <w:kern w:val="0"/>
                <w:szCs w:val="21"/>
                <w:highlight w:val="none"/>
              </w:rPr>
            </w:pPr>
            <w:r>
              <w:rPr>
                <w:rFonts w:hint="default"/>
                <w:color w:val="auto"/>
                <w:kern w:val="0"/>
                <w:szCs w:val="21"/>
                <w:highlight w:val="none"/>
              </w:rPr>
              <w:t>≥1</w:t>
            </w:r>
            <w:r>
              <w:rPr>
                <w:rFonts w:hint="eastAsia"/>
                <w:color w:val="auto"/>
                <w:kern w:val="0"/>
                <w:szCs w:val="21"/>
                <w:highlight w:val="none"/>
                <w:lang w:val="en-US" w:eastAsia="zh-CN"/>
              </w:rPr>
              <w:t>6</w:t>
            </w:r>
          </w:p>
        </w:tc>
        <w:tc>
          <w:tcPr>
            <w:tcW w:w="1276" w:type="dxa"/>
            <w:tcBorders>
              <w:top w:val="nil"/>
              <w:left w:val="single" w:color="000000" w:sz="8" w:space="0"/>
              <w:bottom w:val="single" w:color="000000" w:sz="8" w:space="0"/>
              <w:right w:val="single" w:color="000000" w:sz="8" w:space="0"/>
            </w:tcBorders>
            <w:noWrap w:val="0"/>
            <w:vAlign w:val="center"/>
          </w:tcPr>
          <w:p w14:paraId="098FAFD4">
            <w:pPr>
              <w:jc w:val="center"/>
              <w:rPr>
                <w:rFonts w:hint="default"/>
                <w:color w:val="auto"/>
                <w:kern w:val="0"/>
                <w:szCs w:val="21"/>
                <w:highlight w:val="none"/>
                <w:lang w:val="en-US" w:eastAsia="zh-CN"/>
              </w:rPr>
            </w:pPr>
            <w:r>
              <w:rPr>
                <w:rFonts w:hint="eastAsia"/>
                <w:color w:val="auto"/>
                <w:kern w:val="0"/>
                <w:szCs w:val="21"/>
                <w:highlight w:val="none"/>
                <w:lang w:val="en-US" w:eastAsia="zh-CN"/>
              </w:rPr>
              <w:t>41</w:t>
            </w:r>
          </w:p>
        </w:tc>
      </w:tr>
      <w:tr w14:paraId="0B1DEE8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78E3172C">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1382CF2A">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评审项目数量</w:t>
            </w:r>
          </w:p>
        </w:tc>
        <w:tc>
          <w:tcPr>
            <w:tcW w:w="1165" w:type="dxa"/>
            <w:tcBorders>
              <w:top w:val="nil"/>
              <w:left w:val="single" w:color="000000" w:sz="8" w:space="0"/>
              <w:bottom w:val="single" w:color="000000" w:sz="8" w:space="0"/>
              <w:right w:val="single" w:color="000000" w:sz="8" w:space="0"/>
            </w:tcBorders>
            <w:noWrap w:val="0"/>
            <w:vAlign w:val="center"/>
          </w:tcPr>
          <w:p w14:paraId="1922B273">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个</w:t>
            </w:r>
          </w:p>
        </w:tc>
        <w:tc>
          <w:tcPr>
            <w:tcW w:w="1544" w:type="dxa"/>
            <w:tcBorders>
              <w:top w:val="nil"/>
              <w:left w:val="single" w:color="000000" w:sz="8" w:space="0"/>
              <w:bottom w:val="single" w:color="000000" w:sz="8" w:space="0"/>
              <w:right w:val="single" w:color="000000" w:sz="8" w:space="0"/>
            </w:tcBorders>
            <w:noWrap w:val="0"/>
            <w:vAlign w:val="center"/>
          </w:tcPr>
          <w:p w14:paraId="05ACF58C">
            <w:pPr>
              <w:jc w:val="center"/>
              <w:rPr>
                <w:rFonts w:hint="default"/>
                <w:color w:val="auto"/>
                <w:kern w:val="0"/>
                <w:szCs w:val="21"/>
                <w:highlight w:val="none"/>
              </w:rPr>
            </w:pPr>
            <w:r>
              <w:rPr>
                <w:rFonts w:hint="default"/>
                <w:color w:val="auto"/>
                <w:kern w:val="0"/>
                <w:szCs w:val="21"/>
                <w:highlight w:val="none"/>
              </w:rPr>
              <w:t>≥200</w:t>
            </w:r>
          </w:p>
        </w:tc>
        <w:tc>
          <w:tcPr>
            <w:tcW w:w="1276" w:type="dxa"/>
            <w:tcBorders>
              <w:top w:val="nil"/>
              <w:left w:val="single" w:color="000000" w:sz="8" w:space="0"/>
              <w:bottom w:val="single" w:color="000000" w:sz="8" w:space="0"/>
              <w:right w:val="single" w:color="000000" w:sz="8" w:space="0"/>
            </w:tcBorders>
            <w:noWrap w:val="0"/>
            <w:vAlign w:val="center"/>
          </w:tcPr>
          <w:p w14:paraId="2262E7E6">
            <w:pPr>
              <w:jc w:val="center"/>
              <w:rPr>
                <w:rFonts w:hint="default"/>
                <w:color w:val="auto"/>
                <w:kern w:val="0"/>
                <w:szCs w:val="21"/>
                <w:highlight w:val="none"/>
              </w:rPr>
            </w:pPr>
            <w:r>
              <w:rPr>
                <w:rFonts w:hint="default"/>
                <w:color w:val="auto"/>
                <w:kern w:val="0"/>
                <w:szCs w:val="21"/>
                <w:highlight w:val="none"/>
              </w:rPr>
              <w:t>200</w:t>
            </w:r>
          </w:p>
        </w:tc>
      </w:tr>
      <w:tr w14:paraId="79A2839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BA18EDF">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3</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0AD4DF13">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规划、方案、课题等通过评审率</w:t>
            </w:r>
          </w:p>
        </w:tc>
        <w:tc>
          <w:tcPr>
            <w:tcW w:w="1165" w:type="dxa"/>
            <w:tcBorders>
              <w:top w:val="nil"/>
              <w:left w:val="single" w:color="000000" w:sz="8" w:space="0"/>
              <w:bottom w:val="single" w:color="000000" w:sz="8" w:space="0"/>
              <w:right w:val="single" w:color="000000" w:sz="8" w:space="0"/>
            </w:tcBorders>
            <w:noWrap w:val="0"/>
            <w:vAlign w:val="center"/>
          </w:tcPr>
          <w:p w14:paraId="26157436">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w:t>
            </w:r>
          </w:p>
        </w:tc>
        <w:tc>
          <w:tcPr>
            <w:tcW w:w="1544" w:type="dxa"/>
            <w:tcBorders>
              <w:top w:val="nil"/>
              <w:left w:val="single" w:color="000000" w:sz="8" w:space="0"/>
              <w:bottom w:val="single" w:color="000000" w:sz="8" w:space="0"/>
              <w:right w:val="single" w:color="000000" w:sz="8" w:space="0"/>
            </w:tcBorders>
            <w:noWrap w:val="0"/>
            <w:vAlign w:val="center"/>
          </w:tcPr>
          <w:p w14:paraId="720BC804">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52FA6F70">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r>
      <w:tr w14:paraId="2D6EB38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F924D8D">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4</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34A984CB">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社会公众对省发展改革委制定的政策知晓率</w:t>
            </w:r>
            <w:r>
              <w:rPr>
                <w:rFonts w:hint="default" w:eastAsia="宋体"/>
                <w:color w:val="auto"/>
                <w:kern w:val="0"/>
                <w:sz w:val="21"/>
                <w:szCs w:val="21"/>
                <w:highlight w:val="none"/>
                <w:lang w:bidi="ar"/>
              </w:rPr>
              <w:t>是否</w:t>
            </w:r>
          </w:p>
        </w:tc>
        <w:tc>
          <w:tcPr>
            <w:tcW w:w="1165" w:type="dxa"/>
            <w:tcBorders>
              <w:top w:val="nil"/>
              <w:left w:val="single" w:color="000000" w:sz="8" w:space="0"/>
              <w:bottom w:val="single" w:color="000000" w:sz="8" w:space="0"/>
              <w:right w:val="single" w:color="000000" w:sz="8" w:space="0"/>
            </w:tcBorders>
            <w:noWrap w:val="0"/>
            <w:vAlign w:val="center"/>
          </w:tcPr>
          <w:p w14:paraId="2367742E">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是否提升</w:t>
            </w:r>
          </w:p>
        </w:tc>
        <w:tc>
          <w:tcPr>
            <w:tcW w:w="1544" w:type="dxa"/>
            <w:tcBorders>
              <w:top w:val="nil"/>
              <w:left w:val="single" w:color="000000" w:sz="8" w:space="0"/>
              <w:bottom w:val="single" w:color="000000" w:sz="8" w:space="0"/>
              <w:right w:val="single" w:color="000000" w:sz="8" w:space="0"/>
            </w:tcBorders>
            <w:noWrap w:val="0"/>
            <w:vAlign w:val="center"/>
          </w:tcPr>
          <w:p w14:paraId="7A75FBF2">
            <w:pPr>
              <w:jc w:val="center"/>
              <w:rPr>
                <w:rFonts w:hint="default"/>
                <w:color w:val="auto"/>
                <w:kern w:val="0"/>
                <w:szCs w:val="21"/>
                <w:highlight w:val="none"/>
              </w:rPr>
            </w:pPr>
            <w:r>
              <w:rPr>
                <w:rFonts w:hint="default"/>
                <w:color w:val="auto"/>
                <w:kern w:val="0"/>
                <w:szCs w:val="21"/>
                <w:highlight w:val="none"/>
              </w:rPr>
              <w:t>提升</w:t>
            </w:r>
          </w:p>
        </w:tc>
        <w:tc>
          <w:tcPr>
            <w:tcW w:w="1276" w:type="dxa"/>
            <w:tcBorders>
              <w:top w:val="nil"/>
              <w:left w:val="single" w:color="000000" w:sz="8" w:space="0"/>
              <w:bottom w:val="single" w:color="000000" w:sz="8" w:space="0"/>
              <w:right w:val="single" w:color="000000" w:sz="8" w:space="0"/>
            </w:tcBorders>
            <w:noWrap w:val="0"/>
            <w:vAlign w:val="center"/>
          </w:tcPr>
          <w:p w14:paraId="76F76DEA">
            <w:pPr>
              <w:jc w:val="center"/>
              <w:rPr>
                <w:rFonts w:hint="default"/>
                <w:color w:val="auto"/>
                <w:kern w:val="0"/>
                <w:szCs w:val="21"/>
                <w:highlight w:val="none"/>
              </w:rPr>
            </w:pPr>
            <w:r>
              <w:rPr>
                <w:rFonts w:hint="default"/>
                <w:color w:val="auto"/>
                <w:kern w:val="0"/>
                <w:szCs w:val="21"/>
                <w:highlight w:val="none"/>
              </w:rPr>
              <w:t>提升</w:t>
            </w:r>
          </w:p>
        </w:tc>
      </w:tr>
      <w:tr w14:paraId="62BAA89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02CE02F">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(5)</w:t>
            </w:r>
          </w:p>
        </w:tc>
        <w:tc>
          <w:tcPr>
            <w:tcW w:w="4426" w:type="dxa"/>
            <w:tcBorders>
              <w:top w:val="nil"/>
              <w:left w:val="single" w:color="000000" w:sz="8" w:space="0"/>
              <w:bottom w:val="single" w:color="000000" w:sz="8" w:space="0"/>
              <w:right w:val="single" w:color="000000" w:sz="8" w:space="0"/>
            </w:tcBorders>
            <w:noWrap w:val="0"/>
            <w:vAlign w:val="center"/>
          </w:tcPr>
          <w:p w14:paraId="35D6D6A4">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2024年度</w:t>
            </w:r>
            <w:r>
              <w:rPr>
                <w:rFonts w:eastAsia="宋体"/>
                <w:color w:val="auto"/>
                <w:kern w:val="0"/>
                <w:sz w:val="21"/>
                <w:szCs w:val="21"/>
                <w:highlight w:val="none"/>
                <w:lang w:bidi="ar"/>
              </w:rPr>
              <w:t>印发正式文件并长期施行</w:t>
            </w:r>
            <w:r>
              <w:rPr>
                <w:rFonts w:hint="default" w:eastAsia="宋体"/>
                <w:color w:val="auto"/>
                <w:kern w:val="0"/>
                <w:sz w:val="21"/>
                <w:szCs w:val="21"/>
                <w:highlight w:val="none"/>
                <w:lang w:bidi="ar"/>
              </w:rPr>
              <w:t>的文件数量</w:t>
            </w:r>
          </w:p>
        </w:tc>
        <w:tc>
          <w:tcPr>
            <w:tcW w:w="1165" w:type="dxa"/>
            <w:tcBorders>
              <w:top w:val="nil"/>
              <w:left w:val="single" w:color="000000" w:sz="8" w:space="0"/>
              <w:bottom w:val="single" w:color="000000" w:sz="8" w:space="0"/>
              <w:right w:val="single" w:color="000000" w:sz="8" w:space="0"/>
            </w:tcBorders>
            <w:noWrap w:val="0"/>
            <w:vAlign w:val="center"/>
          </w:tcPr>
          <w:p w14:paraId="1416F262">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个</w:t>
            </w:r>
          </w:p>
        </w:tc>
        <w:tc>
          <w:tcPr>
            <w:tcW w:w="1544" w:type="dxa"/>
            <w:tcBorders>
              <w:top w:val="nil"/>
              <w:left w:val="single" w:color="000000" w:sz="8" w:space="0"/>
              <w:bottom w:val="single" w:color="000000" w:sz="8" w:space="0"/>
              <w:right w:val="single" w:color="000000" w:sz="8" w:space="0"/>
            </w:tcBorders>
            <w:noWrap w:val="0"/>
            <w:vAlign w:val="center"/>
          </w:tcPr>
          <w:p w14:paraId="7F5FA8F7">
            <w:pPr>
              <w:jc w:val="center"/>
              <w:rPr>
                <w:rFonts w:hint="default"/>
                <w:color w:val="auto"/>
                <w:kern w:val="0"/>
                <w:szCs w:val="21"/>
                <w:highlight w:val="none"/>
              </w:rPr>
            </w:pPr>
            <w:r>
              <w:rPr>
                <w:rFonts w:hint="default"/>
                <w:color w:val="auto"/>
                <w:kern w:val="0"/>
                <w:szCs w:val="21"/>
                <w:highlight w:val="none"/>
              </w:rPr>
              <w:t>≥5</w:t>
            </w:r>
          </w:p>
        </w:tc>
        <w:tc>
          <w:tcPr>
            <w:tcW w:w="1276" w:type="dxa"/>
            <w:tcBorders>
              <w:top w:val="nil"/>
              <w:left w:val="single" w:color="000000" w:sz="8" w:space="0"/>
              <w:bottom w:val="single" w:color="000000" w:sz="8" w:space="0"/>
              <w:right w:val="single" w:color="000000" w:sz="8" w:space="0"/>
            </w:tcBorders>
            <w:noWrap w:val="0"/>
            <w:vAlign w:val="center"/>
          </w:tcPr>
          <w:p w14:paraId="5E6974FB">
            <w:pPr>
              <w:jc w:val="center"/>
              <w:rPr>
                <w:rFonts w:hint="eastAsia"/>
                <w:color w:val="auto"/>
                <w:kern w:val="0"/>
                <w:szCs w:val="21"/>
                <w:highlight w:val="none"/>
                <w:lang w:val="en-US" w:eastAsia="zh-CN"/>
              </w:rPr>
            </w:pPr>
            <w:r>
              <w:rPr>
                <w:rFonts w:hint="eastAsia"/>
                <w:color w:val="auto"/>
                <w:kern w:val="0"/>
                <w:szCs w:val="21"/>
                <w:highlight w:val="none"/>
                <w:lang w:val="en-US" w:eastAsia="zh-CN"/>
              </w:rPr>
              <w:t>5</w:t>
            </w:r>
          </w:p>
        </w:tc>
      </w:tr>
      <w:tr w14:paraId="3ACEDC0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30CA328">
            <w:pPr>
              <w:widowControl/>
              <w:jc w:val="center"/>
              <w:textAlignment w:val="center"/>
              <w:rPr>
                <w:rFonts w:hint="default" w:eastAsia="宋体"/>
                <w:b/>
                <w:bCs/>
                <w:color w:val="auto"/>
                <w:kern w:val="0"/>
                <w:sz w:val="21"/>
                <w:szCs w:val="21"/>
                <w:highlight w:val="none"/>
                <w:lang w:bidi="ar"/>
              </w:rPr>
            </w:pPr>
            <w:r>
              <w:rPr>
                <w:rFonts w:hint="default" w:eastAsia="宋体"/>
                <w:b/>
                <w:bCs/>
                <w:color w:val="auto"/>
                <w:kern w:val="0"/>
                <w:sz w:val="21"/>
                <w:szCs w:val="21"/>
                <w:highlight w:val="none"/>
                <w:lang w:bidi="ar"/>
              </w:rPr>
              <w:t>5</w:t>
            </w:r>
          </w:p>
        </w:tc>
        <w:tc>
          <w:tcPr>
            <w:tcW w:w="4426" w:type="dxa"/>
            <w:tcBorders>
              <w:top w:val="nil"/>
              <w:left w:val="single" w:color="000000" w:sz="8" w:space="0"/>
              <w:bottom w:val="single" w:color="000000" w:sz="8" w:space="0"/>
              <w:right w:val="single" w:color="000000" w:sz="8" w:space="0"/>
            </w:tcBorders>
            <w:noWrap w:val="0"/>
            <w:vAlign w:val="center"/>
          </w:tcPr>
          <w:p w14:paraId="49EA0958">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省属公办本科高校学生宿舍建设项目</w:t>
            </w:r>
          </w:p>
        </w:tc>
        <w:tc>
          <w:tcPr>
            <w:tcW w:w="1165" w:type="dxa"/>
            <w:tcBorders>
              <w:top w:val="nil"/>
              <w:left w:val="single" w:color="000000" w:sz="8" w:space="0"/>
              <w:bottom w:val="single" w:color="000000" w:sz="8" w:space="0"/>
              <w:right w:val="single" w:color="000000" w:sz="8" w:space="0"/>
            </w:tcBorders>
            <w:noWrap w:val="0"/>
            <w:vAlign w:val="center"/>
          </w:tcPr>
          <w:p w14:paraId="74F4B7F7">
            <w:pPr>
              <w:jc w:val="center"/>
              <w:rPr>
                <w:rFonts w:eastAsia="宋体"/>
                <w:b/>
                <w:bCs/>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6A8F357B">
            <w:pPr>
              <w:jc w:val="center"/>
              <w:rPr>
                <w:rFonts w:hint="default"/>
                <w:color w:val="auto"/>
                <w:kern w:val="0"/>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3F551E9F">
            <w:pPr>
              <w:jc w:val="center"/>
              <w:rPr>
                <w:rFonts w:hint="default"/>
                <w:color w:val="auto"/>
                <w:kern w:val="0"/>
                <w:szCs w:val="21"/>
                <w:highlight w:val="none"/>
              </w:rPr>
            </w:pPr>
          </w:p>
        </w:tc>
      </w:tr>
      <w:tr w14:paraId="2EBA7C2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B2E822E">
            <w:pPr>
              <w:widowControl/>
              <w:jc w:val="center"/>
              <w:textAlignment w:val="center"/>
              <w:rPr>
                <w:rFonts w:hint="default"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0B5422B5">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工程变更率</w:t>
            </w:r>
          </w:p>
        </w:tc>
        <w:tc>
          <w:tcPr>
            <w:tcW w:w="1165" w:type="dxa"/>
            <w:tcBorders>
              <w:top w:val="nil"/>
              <w:left w:val="single" w:color="000000" w:sz="8" w:space="0"/>
              <w:bottom w:val="single" w:color="000000" w:sz="8" w:space="0"/>
              <w:right w:val="single" w:color="000000" w:sz="8" w:space="0"/>
            </w:tcBorders>
            <w:noWrap w:val="0"/>
            <w:vAlign w:val="center"/>
          </w:tcPr>
          <w:p w14:paraId="15045404">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p>
        </w:tc>
        <w:tc>
          <w:tcPr>
            <w:tcW w:w="1544" w:type="dxa"/>
            <w:tcBorders>
              <w:top w:val="nil"/>
              <w:left w:val="single" w:color="000000" w:sz="8" w:space="0"/>
              <w:bottom w:val="single" w:color="000000" w:sz="8" w:space="0"/>
              <w:right w:val="single" w:color="000000" w:sz="8" w:space="0"/>
            </w:tcBorders>
            <w:noWrap w:val="0"/>
            <w:vAlign w:val="center"/>
          </w:tcPr>
          <w:p w14:paraId="14967C6D">
            <w:pPr>
              <w:jc w:val="center"/>
              <w:rPr>
                <w:rFonts w:hint="default"/>
                <w:color w:val="auto"/>
                <w:kern w:val="0"/>
                <w:szCs w:val="21"/>
                <w:highlight w:val="none"/>
              </w:rPr>
            </w:pPr>
            <w:r>
              <w:rPr>
                <w:rFonts w:hint="default"/>
                <w:color w:val="auto"/>
                <w:kern w:val="0"/>
                <w:szCs w:val="21"/>
                <w:highlight w:val="none"/>
              </w:rPr>
              <w:t>≤15</w:t>
            </w:r>
          </w:p>
        </w:tc>
        <w:tc>
          <w:tcPr>
            <w:tcW w:w="1276" w:type="dxa"/>
            <w:tcBorders>
              <w:top w:val="nil"/>
              <w:left w:val="single" w:color="000000" w:sz="8" w:space="0"/>
              <w:bottom w:val="single" w:color="000000" w:sz="8" w:space="0"/>
              <w:right w:val="single" w:color="000000" w:sz="8" w:space="0"/>
            </w:tcBorders>
            <w:noWrap w:val="0"/>
            <w:vAlign w:val="center"/>
          </w:tcPr>
          <w:p w14:paraId="0F9F1D9B">
            <w:pPr>
              <w:jc w:val="center"/>
              <w:rPr>
                <w:rFonts w:hint="eastAsia"/>
                <w:color w:val="auto"/>
                <w:kern w:val="0"/>
                <w:szCs w:val="21"/>
                <w:highlight w:val="none"/>
                <w:lang w:val="en-US" w:eastAsia="zh-CN"/>
              </w:rPr>
            </w:pPr>
            <w:r>
              <w:rPr>
                <w:rFonts w:hint="default"/>
                <w:color w:val="auto"/>
                <w:kern w:val="0"/>
                <w:szCs w:val="21"/>
                <w:highlight w:val="none"/>
              </w:rPr>
              <w:t>≤15</w:t>
            </w:r>
          </w:p>
        </w:tc>
      </w:tr>
      <w:tr w14:paraId="00FFC22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489E4EB">
            <w:pPr>
              <w:jc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0DD64CCE">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支持项目建设过程中重大环境污染事项发生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5E082C18">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single" w:color="000000" w:sz="8" w:space="0"/>
              <w:bottom w:val="single" w:color="000000" w:sz="8" w:space="0"/>
              <w:right w:val="single" w:color="000000" w:sz="8" w:space="0"/>
            </w:tcBorders>
            <w:noWrap w:val="0"/>
            <w:vAlign w:val="center"/>
          </w:tcPr>
          <w:p w14:paraId="641BE252">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6DEA6021">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7C862EE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EA6D7DC">
            <w:pPr>
              <w:jc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(3)</w:t>
            </w:r>
          </w:p>
        </w:tc>
        <w:tc>
          <w:tcPr>
            <w:tcW w:w="4426" w:type="dxa"/>
            <w:tcBorders>
              <w:top w:val="nil"/>
              <w:left w:val="single" w:color="000000" w:sz="8" w:space="0"/>
              <w:bottom w:val="single" w:color="000000" w:sz="8" w:space="0"/>
              <w:right w:val="single" w:color="000000" w:sz="8" w:space="0"/>
            </w:tcBorders>
            <w:noWrap w:val="0"/>
            <w:vAlign w:val="center"/>
          </w:tcPr>
          <w:p w14:paraId="72101D12">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竣工验收合格率</w:t>
            </w:r>
          </w:p>
        </w:tc>
        <w:tc>
          <w:tcPr>
            <w:tcW w:w="1165" w:type="dxa"/>
            <w:tcBorders>
              <w:top w:val="nil"/>
              <w:left w:val="single" w:color="000000" w:sz="8" w:space="0"/>
              <w:bottom w:val="single" w:color="000000" w:sz="8" w:space="0"/>
              <w:right w:val="single" w:color="000000" w:sz="8" w:space="0"/>
            </w:tcBorders>
            <w:noWrap w:val="0"/>
            <w:vAlign w:val="center"/>
          </w:tcPr>
          <w:p w14:paraId="2F53E040">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w:t>
            </w:r>
          </w:p>
        </w:tc>
        <w:tc>
          <w:tcPr>
            <w:tcW w:w="1544" w:type="dxa"/>
            <w:tcBorders>
              <w:top w:val="nil"/>
              <w:left w:val="single" w:color="000000" w:sz="8" w:space="0"/>
              <w:bottom w:val="single" w:color="000000" w:sz="8" w:space="0"/>
              <w:right w:val="single" w:color="000000" w:sz="8" w:space="0"/>
            </w:tcBorders>
            <w:noWrap w:val="0"/>
            <w:vAlign w:val="center"/>
          </w:tcPr>
          <w:p w14:paraId="4A3503C8">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3FAC6BA8">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r>
      <w:tr w14:paraId="3554D93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F99FD44">
            <w:pPr>
              <w:jc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(4)</w:t>
            </w:r>
          </w:p>
        </w:tc>
        <w:tc>
          <w:tcPr>
            <w:tcW w:w="4426" w:type="dxa"/>
            <w:tcBorders>
              <w:top w:val="nil"/>
              <w:left w:val="single" w:color="000000" w:sz="8" w:space="0"/>
              <w:bottom w:val="single" w:color="000000" w:sz="8" w:space="0"/>
              <w:right w:val="single" w:color="000000" w:sz="8" w:space="0"/>
            </w:tcBorders>
            <w:noWrap w:val="0"/>
            <w:vAlign w:val="center"/>
          </w:tcPr>
          <w:p w14:paraId="1DF8BB6C">
            <w:pPr>
              <w:widowControl/>
              <w:jc w:val="center"/>
              <w:textAlignment w:val="center"/>
              <w:rPr>
                <w:rFonts w:eastAsia="宋体"/>
                <w:color w:val="auto"/>
                <w:kern w:val="0"/>
                <w:sz w:val="21"/>
                <w:szCs w:val="21"/>
                <w:highlight w:val="none"/>
                <w:lang w:bidi="ar"/>
              </w:rPr>
            </w:pPr>
            <w:r>
              <w:rPr>
                <w:rFonts w:hint="eastAsia" w:eastAsia="宋体"/>
                <w:color w:val="auto"/>
                <w:kern w:val="0"/>
                <w:sz w:val="21"/>
                <w:szCs w:val="21"/>
                <w:highlight w:val="none"/>
                <w:lang w:bidi="ar"/>
              </w:rPr>
              <w:t>2024年项目完工率</w:t>
            </w:r>
          </w:p>
        </w:tc>
        <w:tc>
          <w:tcPr>
            <w:tcW w:w="1165" w:type="dxa"/>
            <w:tcBorders>
              <w:top w:val="nil"/>
              <w:left w:val="single" w:color="000000" w:sz="8" w:space="0"/>
              <w:bottom w:val="single" w:color="000000" w:sz="8" w:space="0"/>
              <w:right w:val="single" w:color="000000" w:sz="8" w:space="0"/>
            </w:tcBorders>
            <w:noWrap w:val="0"/>
            <w:vAlign w:val="center"/>
          </w:tcPr>
          <w:p w14:paraId="00070AB0">
            <w:pPr>
              <w:widowControl/>
              <w:jc w:val="center"/>
              <w:textAlignment w:val="center"/>
              <w:rPr>
                <w:rFonts w:hint="eastAsia" w:eastAsia="宋体"/>
                <w:color w:val="auto"/>
                <w:kern w:val="0"/>
                <w:sz w:val="21"/>
                <w:szCs w:val="21"/>
                <w:highlight w:val="none"/>
                <w:lang w:eastAsia="zh-CN" w:bidi="ar"/>
              </w:rPr>
            </w:pPr>
            <w:r>
              <w:rPr>
                <w:rFonts w:hint="eastAsia"/>
                <w:color w:val="auto"/>
                <w:kern w:val="0"/>
                <w:sz w:val="21"/>
                <w:szCs w:val="21"/>
                <w:highlight w:val="none"/>
                <w:lang w:val="en-US" w:eastAsia="zh-CN" w:bidi="ar"/>
              </w:rPr>
              <w:t>%</w:t>
            </w:r>
          </w:p>
        </w:tc>
        <w:tc>
          <w:tcPr>
            <w:tcW w:w="1544" w:type="dxa"/>
            <w:tcBorders>
              <w:top w:val="nil"/>
              <w:left w:val="single" w:color="000000" w:sz="8" w:space="0"/>
              <w:bottom w:val="single" w:color="000000" w:sz="8" w:space="0"/>
              <w:right w:val="single" w:color="000000" w:sz="8" w:space="0"/>
            </w:tcBorders>
            <w:noWrap w:val="0"/>
            <w:vAlign w:val="center"/>
          </w:tcPr>
          <w:p w14:paraId="14E1E207">
            <w:pPr>
              <w:jc w:val="center"/>
              <w:rPr>
                <w:rFonts w:hint="default"/>
                <w:color w:val="auto"/>
                <w:kern w:val="0"/>
                <w:szCs w:val="21"/>
                <w:highlight w:val="none"/>
                <w:lang w:val="en-US" w:eastAsia="zh-CN"/>
              </w:rPr>
            </w:pPr>
            <w:r>
              <w:rPr>
                <w:rFonts w:hint="default"/>
                <w:color w:val="auto"/>
                <w:kern w:val="0"/>
                <w:szCs w:val="21"/>
                <w:highlight w:val="none"/>
              </w:rPr>
              <w:t>≥40</w:t>
            </w:r>
          </w:p>
        </w:tc>
        <w:tc>
          <w:tcPr>
            <w:tcW w:w="1276" w:type="dxa"/>
            <w:tcBorders>
              <w:top w:val="nil"/>
              <w:left w:val="single" w:color="000000" w:sz="8" w:space="0"/>
              <w:bottom w:val="single" w:color="000000" w:sz="8" w:space="0"/>
              <w:right w:val="single" w:color="000000" w:sz="8" w:space="0"/>
            </w:tcBorders>
            <w:noWrap w:val="0"/>
            <w:vAlign w:val="center"/>
          </w:tcPr>
          <w:p w14:paraId="5C4E077D">
            <w:pPr>
              <w:jc w:val="center"/>
              <w:rPr>
                <w:rFonts w:hint="default"/>
                <w:color w:val="auto"/>
                <w:kern w:val="0"/>
                <w:szCs w:val="21"/>
                <w:highlight w:val="none"/>
                <w:lang w:val="en-US" w:eastAsia="zh-CN"/>
              </w:rPr>
            </w:pPr>
            <w:r>
              <w:rPr>
                <w:rFonts w:hint="eastAsia"/>
                <w:color w:val="auto"/>
                <w:kern w:val="0"/>
                <w:szCs w:val="21"/>
                <w:highlight w:val="none"/>
                <w:lang w:val="en-US" w:eastAsia="zh-CN"/>
              </w:rPr>
              <w:t>42.86</w:t>
            </w:r>
          </w:p>
        </w:tc>
      </w:tr>
      <w:tr w14:paraId="3CE36E8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3D9FC55">
            <w:pPr>
              <w:jc w:val="center"/>
              <w:rPr>
                <w:rFonts w:hint="default" w:eastAsia="宋体"/>
                <w:color w:val="auto"/>
                <w:sz w:val="21"/>
                <w:szCs w:val="21"/>
                <w:highlight w:val="none"/>
              </w:rPr>
            </w:pPr>
            <w:r>
              <w:rPr>
                <w:rFonts w:hint="default" w:eastAsia="宋体"/>
                <w:color w:val="auto"/>
                <w:kern w:val="0"/>
                <w:sz w:val="21"/>
                <w:szCs w:val="21"/>
                <w:highlight w:val="none"/>
                <w:lang w:bidi="ar"/>
              </w:rPr>
              <w:t>(5)</w:t>
            </w:r>
          </w:p>
        </w:tc>
        <w:tc>
          <w:tcPr>
            <w:tcW w:w="4426" w:type="dxa"/>
            <w:tcBorders>
              <w:top w:val="nil"/>
              <w:left w:val="single" w:color="000000" w:sz="8" w:space="0"/>
              <w:bottom w:val="single" w:color="000000" w:sz="8" w:space="0"/>
              <w:right w:val="single" w:color="000000" w:sz="8" w:space="0"/>
            </w:tcBorders>
            <w:noWrap w:val="0"/>
            <w:vAlign w:val="center"/>
          </w:tcPr>
          <w:p w14:paraId="209A4260">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拉动固定资产投资</w:t>
            </w:r>
          </w:p>
        </w:tc>
        <w:tc>
          <w:tcPr>
            <w:tcW w:w="1165" w:type="dxa"/>
            <w:tcBorders>
              <w:top w:val="nil"/>
              <w:left w:val="single" w:color="000000" w:sz="8" w:space="0"/>
              <w:bottom w:val="single" w:color="000000" w:sz="8" w:space="0"/>
              <w:right w:val="single" w:color="000000" w:sz="8" w:space="0"/>
            </w:tcBorders>
            <w:noWrap w:val="0"/>
            <w:vAlign w:val="center"/>
          </w:tcPr>
          <w:p w14:paraId="0A43049D">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6EEF4617">
            <w:pPr>
              <w:jc w:val="center"/>
              <w:rPr>
                <w:rFonts w:hint="default"/>
                <w:color w:val="auto"/>
                <w:kern w:val="0"/>
                <w:szCs w:val="21"/>
                <w:highlight w:val="none"/>
              </w:rPr>
            </w:pPr>
            <w:r>
              <w:rPr>
                <w:rFonts w:hint="default"/>
                <w:color w:val="auto"/>
                <w:kern w:val="0"/>
                <w:szCs w:val="21"/>
                <w:highlight w:val="none"/>
              </w:rPr>
              <w:t>≥5000</w:t>
            </w:r>
          </w:p>
        </w:tc>
        <w:tc>
          <w:tcPr>
            <w:tcW w:w="1276" w:type="dxa"/>
            <w:tcBorders>
              <w:top w:val="nil"/>
              <w:left w:val="single" w:color="000000" w:sz="8" w:space="0"/>
              <w:bottom w:val="single" w:color="000000" w:sz="8" w:space="0"/>
              <w:right w:val="single" w:color="000000" w:sz="8" w:space="0"/>
            </w:tcBorders>
            <w:noWrap w:val="0"/>
            <w:vAlign w:val="center"/>
          </w:tcPr>
          <w:p w14:paraId="0E081F40">
            <w:pPr>
              <w:jc w:val="center"/>
              <w:rPr>
                <w:rFonts w:hint="default"/>
                <w:color w:val="auto"/>
                <w:kern w:val="0"/>
                <w:szCs w:val="21"/>
                <w:highlight w:val="none"/>
              </w:rPr>
            </w:pPr>
            <w:r>
              <w:rPr>
                <w:rFonts w:hint="default"/>
                <w:color w:val="auto"/>
                <w:kern w:val="0"/>
                <w:szCs w:val="21"/>
                <w:highlight w:val="none"/>
              </w:rPr>
              <w:t>15681.96</w:t>
            </w:r>
          </w:p>
        </w:tc>
      </w:tr>
      <w:tr w14:paraId="0620588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96DB408">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(6)</w:t>
            </w:r>
          </w:p>
        </w:tc>
        <w:tc>
          <w:tcPr>
            <w:tcW w:w="4426" w:type="dxa"/>
            <w:tcBorders>
              <w:top w:val="nil"/>
              <w:left w:val="single" w:color="000000" w:sz="8" w:space="0"/>
              <w:bottom w:val="single" w:color="000000" w:sz="8" w:space="0"/>
              <w:right w:val="single" w:color="000000" w:sz="8" w:space="0"/>
            </w:tcBorders>
            <w:noWrap w:val="0"/>
            <w:vAlign w:val="center"/>
          </w:tcPr>
          <w:p w14:paraId="7B3EBA7D">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项目建设过程中重大安全事故发生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641C532B">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single" w:color="000000" w:sz="8" w:space="0"/>
              <w:bottom w:val="single" w:color="000000" w:sz="8" w:space="0"/>
              <w:right w:val="single" w:color="000000" w:sz="8" w:space="0"/>
            </w:tcBorders>
            <w:noWrap w:val="0"/>
            <w:vAlign w:val="center"/>
          </w:tcPr>
          <w:p w14:paraId="68B99B3A">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4982DF17">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37F134E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9F1365C">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(7)</w:t>
            </w:r>
          </w:p>
        </w:tc>
        <w:tc>
          <w:tcPr>
            <w:tcW w:w="4426" w:type="dxa"/>
            <w:tcBorders>
              <w:top w:val="nil"/>
              <w:left w:val="single" w:color="000000" w:sz="8" w:space="0"/>
              <w:bottom w:val="single" w:color="000000" w:sz="8" w:space="0"/>
              <w:right w:val="single" w:color="000000" w:sz="8" w:space="0"/>
            </w:tcBorders>
            <w:noWrap w:val="0"/>
            <w:vAlign w:val="center"/>
          </w:tcPr>
          <w:p w14:paraId="29BC7905">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w:t>
            </w:r>
            <w:r>
              <w:rPr>
                <w:rFonts w:eastAsia="宋体"/>
                <w:color w:val="auto"/>
                <w:kern w:val="0"/>
                <w:sz w:val="21"/>
                <w:szCs w:val="21"/>
                <w:highlight w:val="none"/>
                <w:lang w:bidi="ar"/>
              </w:rPr>
              <w:t>持续发挥作用</w:t>
            </w:r>
          </w:p>
        </w:tc>
        <w:tc>
          <w:tcPr>
            <w:tcW w:w="1165" w:type="dxa"/>
            <w:tcBorders>
              <w:top w:val="nil"/>
              <w:left w:val="single" w:color="000000" w:sz="8" w:space="0"/>
              <w:bottom w:val="single" w:color="000000" w:sz="8" w:space="0"/>
              <w:right w:val="single" w:color="000000" w:sz="8" w:space="0"/>
            </w:tcBorders>
            <w:noWrap w:val="0"/>
            <w:vAlign w:val="center"/>
          </w:tcPr>
          <w:p w14:paraId="74A3E56B">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single" w:color="000000" w:sz="8" w:space="0"/>
              <w:bottom w:val="single" w:color="000000" w:sz="8" w:space="0"/>
              <w:right w:val="single" w:color="000000" w:sz="8" w:space="0"/>
            </w:tcBorders>
            <w:noWrap w:val="0"/>
            <w:vAlign w:val="center"/>
          </w:tcPr>
          <w:p w14:paraId="1B52B52A">
            <w:pPr>
              <w:jc w:val="center"/>
              <w:rPr>
                <w:rFonts w:hint="default"/>
                <w:color w:val="auto"/>
                <w:kern w:val="0"/>
                <w:szCs w:val="21"/>
                <w:highlight w:val="none"/>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noWrap w:val="0"/>
            <w:vAlign w:val="center"/>
          </w:tcPr>
          <w:p w14:paraId="4D41F143">
            <w:pPr>
              <w:jc w:val="center"/>
              <w:rPr>
                <w:rFonts w:hint="default"/>
                <w:color w:val="auto"/>
                <w:kern w:val="0"/>
                <w:szCs w:val="21"/>
                <w:highlight w:val="none"/>
              </w:rPr>
            </w:pPr>
            <w:r>
              <w:rPr>
                <w:rFonts w:hint="default"/>
                <w:color w:val="auto"/>
                <w:kern w:val="0"/>
                <w:szCs w:val="21"/>
                <w:highlight w:val="none"/>
              </w:rPr>
              <w:t>是</w:t>
            </w:r>
          </w:p>
        </w:tc>
      </w:tr>
      <w:tr w14:paraId="1B58B9C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06E51F4">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(8)</w:t>
            </w:r>
          </w:p>
        </w:tc>
        <w:tc>
          <w:tcPr>
            <w:tcW w:w="4426" w:type="dxa"/>
            <w:tcBorders>
              <w:top w:val="nil"/>
              <w:left w:val="single" w:color="000000" w:sz="8" w:space="0"/>
              <w:bottom w:val="single" w:color="000000" w:sz="8" w:space="0"/>
              <w:right w:val="single" w:color="000000" w:sz="8" w:space="0"/>
            </w:tcBorders>
            <w:noWrap w:val="0"/>
            <w:vAlign w:val="center"/>
          </w:tcPr>
          <w:p w14:paraId="74F7B64B">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是否提升</w:t>
            </w:r>
            <w:r>
              <w:rPr>
                <w:rFonts w:eastAsia="宋体"/>
                <w:color w:val="auto"/>
                <w:kern w:val="0"/>
                <w:sz w:val="21"/>
                <w:szCs w:val="21"/>
                <w:highlight w:val="none"/>
                <w:lang w:bidi="ar"/>
              </w:rPr>
              <w:t>当地形象影响</w:t>
            </w:r>
          </w:p>
        </w:tc>
        <w:tc>
          <w:tcPr>
            <w:tcW w:w="1165" w:type="dxa"/>
            <w:tcBorders>
              <w:top w:val="nil"/>
              <w:left w:val="single" w:color="000000" w:sz="8" w:space="0"/>
              <w:bottom w:val="single" w:color="000000" w:sz="8" w:space="0"/>
              <w:right w:val="single" w:color="000000" w:sz="8" w:space="0"/>
            </w:tcBorders>
            <w:noWrap w:val="0"/>
            <w:vAlign w:val="center"/>
          </w:tcPr>
          <w:p w14:paraId="06DDD99F">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single" w:color="000000" w:sz="8" w:space="0"/>
              <w:bottom w:val="single" w:color="000000" w:sz="8" w:space="0"/>
              <w:right w:val="single" w:color="000000" w:sz="8" w:space="0"/>
            </w:tcBorders>
            <w:noWrap w:val="0"/>
            <w:vAlign w:val="center"/>
          </w:tcPr>
          <w:p w14:paraId="754F4C9B">
            <w:pPr>
              <w:jc w:val="center"/>
              <w:rPr>
                <w:rFonts w:hint="default"/>
                <w:color w:val="auto"/>
                <w:kern w:val="0"/>
                <w:szCs w:val="21"/>
                <w:highlight w:val="none"/>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noWrap w:val="0"/>
            <w:vAlign w:val="center"/>
          </w:tcPr>
          <w:p w14:paraId="2E59C799">
            <w:pPr>
              <w:jc w:val="center"/>
              <w:rPr>
                <w:rFonts w:hint="default"/>
                <w:color w:val="auto"/>
                <w:kern w:val="0"/>
                <w:szCs w:val="21"/>
                <w:highlight w:val="none"/>
              </w:rPr>
            </w:pPr>
            <w:r>
              <w:rPr>
                <w:rFonts w:hint="default"/>
                <w:color w:val="auto"/>
                <w:kern w:val="0"/>
                <w:szCs w:val="21"/>
                <w:highlight w:val="none"/>
              </w:rPr>
              <w:t>是</w:t>
            </w:r>
          </w:p>
        </w:tc>
      </w:tr>
      <w:tr w14:paraId="0AEC1CB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BBA211B">
            <w:pPr>
              <w:widowControl/>
              <w:jc w:val="center"/>
              <w:textAlignment w:val="center"/>
              <w:rPr>
                <w:rFonts w:hint="default" w:eastAsia="宋体"/>
                <w:b/>
                <w:bCs/>
                <w:color w:val="auto"/>
                <w:kern w:val="0"/>
                <w:sz w:val="21"/>
                <w:szCs w:val="21"/>
                <w:highlight w:val="none"/>
                <w:lang w:bidi="ar"/>
              </w:rPr>
            </w:pPr>
            <w:r>
              <w:rPr>
                <w:rFonts w:hint="default" w:eastAsia="宋体"/>
                <w:b/>
                <w:bCs/>
                <w:color w:val="auto"/>
                <w:kern w:val="0"/>
                <w:sz w:val="21"/>
                <w:szCs w:val="21"/>
                <w:highlight w:val="none"/>
                <w:lang w:bidi="ar"/>
              </w:rPr>
              <w:t>6</w:t>
            </w:r>
          </w:p>
        </w:tc>
        <w:tc>
          <w:tcPr>
            <w:tcW w:w="4426" w:type="dxa"/>
            <w:tcBorders>
              <w:top w:val="nil"/>
              <w:left w:val="single" w:color="000000" w:sz="8" w:space="0"/>
              <w:bottom w:val="single" w:color="000000" w:sz="8" w:space="0"/>
              <w:right w:val="single" w:color="000000" w:sz="8" w:space="0"/>
            </w:tcBorders>
            <w:noWrap w:val="0"/>
            <w:vAlign w:val="center"/>
          </w:tcPr>
          <w:p w14:paraId="07D4B1C9">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“五好园区”建设项目</w:t>
            </w:r>
          </w:p>
        </w:tc>
        <w:tc>
          <w:tcPr>
            <w:tcW w:w="1165" w:type="dxa"/>
            <w:tcBorders>
              <w:top w:val="nil"/>
              <w:left w:val="single" w:color="000000" w:sz="8" w:space="0"/>
              <w:bottom w:val="single" w:color="000000" w:sz="8" w:space="0"/>
              <w:right w:val="single" w:color="000000" w:sz="8" w:space="0"/>
            </w:tcBorders>
            <w:noWrap w:val="0"/>
            <w:vAlign w:val="center"/>
          </w:tcPr>
          <w:p w14:paraId="0ED78AD1">
            <w:pPr>
              <w:widowControl/>
              <w:jc w:val="center"/>
              <w:textAlignment w:val="center"/>
              <w:rPr>
                <w:rFonts w:eastAsia="宋体"/>
                <w:color w:val="auto"/>
                <w:kern w:val="0"/>
                <w:sz w:val="21"/>
                <w:szCs w:val="21"/>
                <w:highlight w:val="none"/>
                <w:lang w:bidi="ar"/>
              </w:rPr>
            </w:pPr>
          </w:p>
        </w:tc>
        <w:tc>
          <w:tcPr>
            <w:tcW w:w="1544" w:type="dxa"/>
            <w:tcBorders>
              <w:top w:val="nil"/>
              <w:left w:val="single" w:color="000000" w:sz="8" w:space="0"/>
              <w:bottom w:val="single" w:color="000000" w:sz="8" w:space="0"/>
              <w:right w:val="single" w:color="000000" w:sz="8" w:space="0"/>
            </w:tcBorders>
            <w:noWrap w:val="0"/>
            <w:vAlign w:val="center"/>
          </w:tcPr>
          <w:p w14:paraId="5C691182">
            <w:pPr>
              <w:jc w:val="center"/>
              <w:rPr>
                <w:rFonts w:hint="default"/>
                <w:color w:val="auto"/>
                <w:kern w:val="0"/>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6718C843">
            <w:pPr>
              <w:jc w:val="center"/>
              <w:rPr>
                <w:rFonts w:hint="default"/>
                <w:color w:val="auto"/>
                <w:kern w:val="0"/>
                <w:szCs w:val="21"/>
                <w:highlight w:val="none"/>
              </w:rPr>
            </w:pPr>
          </w:p>
        </w:tc>
      </w:tr>
      <w:tr w14:paraId="6B190B4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70D9D9E">
            <w:pPr>
              <w:widowControl/>
              <w:jc w:val="center"/>
              <w:textAlignment w:val="center"/>
              <w:rPr>
                <w:rFonts w:hint="default"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75B69102">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支持项目建设过程中重大环境污染事项发生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5DBB3097">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single" w:color="000000" w:sz="8" w:space="0"/>
              <w:bottom w:val="single" w:color="000000" w:sz="8" w:space="0"/>
              <w:right w:val="single" w:color="000000" w:sz="8" w:space="0"/>
            </w:tcBorders>
            <w:noWrap w:val="0"/>
            <w:vAlign w:val="center"/>
          </w:tcPr>
          <w:p w14:paraId="3808683D">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7802532B">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6A34407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ACB8B4D">
            <w:pPr>
              <w:jc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239DB7F3">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竣工验收合格率</w:t>
            </w:r>
          </w:p>
        </w:tc>
        <w:tc>
          <w:tcPr>
            <w:tcW w:w="1165" w:type="dxa"/>
            <w:tcBorders>
              <w:top w:val="nil"/>
              <w:left w:val="single" w:color="000000" w:sz="8" w:space="0"/>
              <w:bottom w:val="single" w:color="000000" w:sz="8" w:space="0"/>
              <w:right w:val="single" w:color="000000" w:sz="8" w:space="0"/>
            </w:tcBorders>
            <w:noWrap w:val="0"/>
            <w:vAlign w:val="center"/>
          </w:tcPr>
          <w:p w14:paraId="411D21CE">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p>
        </w:tc>
        <w:tc>
          <w:tcPr>
            <w:tcW w:w="1544" w:type="dxa"/>
            <w:tcBorders>
              <w:top w:val="nil"/>
              <w:left w:val="single" w:color="000000" w:sz="8" w:space="0"/>
              <w:bottom w:val="single" w:color="000000" w:sz="8" w:space="0"/>
              <w:right w:val="single" w:color="000000" w:sz="8" w:space="0"/>
            </w:tcBorders>
            <w:noWrap w:val="0"/>
            <w:vAlign w:val="center"/>
          </w:tcPr>
          <w:p w14:paraId="01A068C1">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4C8BA940">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r>
      <w:tr w14:paraId="4C7A369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D3D8023">
            <w:pPr>
              <w:jc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(3)</w:t>
            </w:r>
          </w:p>
        </w:tc>
        <w:tc>
          <w:tcPr>
            <w:tcW w:w="4426" w:type="dxa"/>
            <w:tcBorders>
              <w:top w:val="nil"/>
              <w:left w:val="single" w:color="000000" w:sz="8" w:space="0"/>
              <w:bottom w:val="single" w:color="000000" w:sz="8" w:space="0"/>
              <w:right w:val="single" w:color="000000" w:sz="8" w:space="0"/>
            </w:tcBorders>
            <w:noWrap w:val="0"/>
            <w:vAlign w:val="center"/>
          </w:tcPr>
          <w:p w14:paraId="01D52303">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拉动固定资产投资</w:t>
            </w:r>
          </w:p>
        </w:tc>
        <w:tc>
          <w:tcPr>
            <w:tcW w:w="1165" w:type="dxa"/>
            <w:tcBorders>
              <w:top w:val="nil"/>
              <w:left w:val="single" w:color="000000" w:sz="8" w:space="0"/>
              <w:bottom w:val="single" w:color="000000" w:sz="8" w:space="0"/>
              <w:right w:val="single" w:color="000000" w:sz="8" w:space="0"/>
            </w:tcBorders>
            <w:noWrap w:val="0"/>
            <w:vAlign w:val="center"/>
          </w:tcPr>
          <w:p w14:paraId="02DAD14C">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3E531132">
            <w:pPr>
              <w:jc w:val="center"/>
              <w:rPr>
                <w:rFonts w:hint="default"/>
                <w:color w:val="auto"/>
                <w:kern w:val="0"/>
                <w:szCs w:val="21"/>
                <w:highlight w:val="none"/>
              </w:rPr>
            </w:pPr>
            <w:r>
              <w:rPr>
                <w:rFonts w:hint="default"/>
                <w:color w:val="auto"/>
                <w:kern w:val="0"/>
                <w:szCs w:val="21"/>
                <w:highlight w:val="none"/>
              </w:rPr>
              <w:t>≥5000</w:t>
            </w:r>
          </w:p>
        </w:tc>
        <w:tc>
          <w:tcPr>
            <w:tcW w:w="1276" w:type="dxa"/>
            <w:tcBorders>
              <w:top w:val="nil"/>
              <w:left w:val="single" w:color="000000" w:sz="8" w:space="0"/>
              <w:bottom w:val="single" w:color="000000" w:sz="8" w:space="0"/>
              <w:right w:val="single" w:color="000000" w:sz="8" w:space="0"/>
            </w:tcBorders>
            <w:noWrap w:val="0"/>
            <w:vAlign w:val="center"/>
          </w:tcPr>
          <w:p w14:paraId="4EB1D451">
            <w:pPr>
              <w:jc w:val="center"/>
              <w:rPr>
                <w:rFonts w:hint="default"/>
                <w:color w:val="auto"/>
                <w:kern w:val="0"/>
                <w:szCs w:val="21"/>
                <w:highlight w:val="none"/>
              </w:rPr>
            </w:pPr>
            <w:r>
              <w:rPr>
                <w:rFonts w:hint="default"/>
                <w:color w:val="auto"/>
                <w:kern w:val="0"/>
                <w:szCs w:val="21"/>
                <w:highlight w:val="none"/>
              </w:rPr>
              <w:t>847171.83</w:t>
            </w:r>
          </w:p>
        </w:tc>
      </w:tr>
      <w:tr w14:paraId="15F72D5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D484AFE">
            <w:pPr>
              <w:jc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(4)</w:t>
            </w:r>
          </w:p>
        </w:tc>
        <w:tc>
          <w:tcPr>
            <w:tcW w:w="4426" w:type="dxa"/>
            <w:tcBorders>
              <w:top w:val="nil"/>
              <w:left w:val="single" w:color="000000" w:sz="8" w:space="0"/>
              <w:bottom w:val="single" w:color="000000" w:sz="8" w:space="0"/>
              <w:right w:val="single" w:color="000000" w:sz="8" w:space="0"/>
            </w:tcBorders>
            <w:noWrap w:val="0"/>
            <w:vAlign w:val="center"/>
          </w:tcPr>
          <w:p w14:paraId="043944B9">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园区承载能力</w:t>
            </w:r>
            <w:r>
              <w:rPr>
                <w:rFonts w:hint="default" w:eastAsia="宋体"/>
                <w:color w:val="auto"/>
                <w:kern w:val="0"/>
                <w:sz w:val="21"/>
                <w:szCs w:val="21"/>
                <w:highlight w:val="none"/>
                <w:lang w:bidi="ar"/>
              </w:rPr>
              <w:t>是否明显提升</w:t>
            </w:r>
          </w:p>
        </w:tc>
        <w:tc>
          <w:tcPr>
            <w:tcW w:w="1165" w:type="dxa"/>
            <w:tcBorders>
              <w:top w:val="nil"/>
              <w:left w:val="single" w:color="000000" w:sz="8" w:space="0"/>
              <w:bottom w:val="single" w:color="000000" w:sz="8" w:space="0"/>
              <w:right w:val="single" w:color="000000" w:sz="8" w:space="0"/>
            </w:tcBorders>
            <w:noWrap w:val="0"/>
            <w:vAlign w:val="center"/>
          </w:tcPr>
          <w:p w14:paraId="1078382E">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single" w:color="000000" w:sz="8" w:space="0"/>
              <w:bottom w:val="single" w:color="000000" w:sz="8" w:space="0"/>
              <w:right w:val="single" w:color="000000" w:sz="8" w:space="0"/>
            </w:tcBorders>
            <w:shd w:val="clear" w:color="auto" w:fill="auto"/>
            <w:noWrap w:val="0"/>
            <w:vAlign w:val="center"/>
          </w:tcPr>
          <w:p w14:paraId="18D6700A">
            <w:pPr>
              <w:jc w:val="center"/>
              <w:rPr>
                <w:rFonts w:hint="default"/>
                <w:color w:val="auto"/>
                <w:kern w:val="0"/>
                <w:szCs w:val="21"/>
                <w:highlight w:val="none"/>
                <w:lang w:val="en-US" w:eastAsia="zh-CN"/>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2A477B3B">
            <w:pPr>
              <w:jc w:val="center"/>
              <w:rPr>
                <w:rFonts w:hint="default"/>
                <w:color w:val="auto"/>
                <w:kern w:val="0"/>
                <w:szCs w:val="21"/>
                <w:highlight w:val="none"/>
                <w:lang w:val="en-US" w:eastAsia="zh-CN"/>
              </w:rPr>
            </w:pPr>
            <w:r>
              <w:rPr>
                <w:rFonts w:hint="default"/>
                <w:color w:val="auto"/>
                <w:kern w:val="0"/>
                <w:szCs w:val="21"/>
                <w:highlight w:val="none"/>
              </w:rPr>
              <w:t>是</w:t>
            </w:r>
          </w:p>
        </w:tc>
      </w:tr>
      <w:tr w14:paraId="16F4FA7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2DC90FD">
            <w:pPr>
              <w:jc w:val="center"/>
              <w:rPr>
                <w:rFonts w:hint="default" w:eastAsia="宋体"/>
                <w:color w:val="auto"/>
                <w:sz w:val="21"/>
                <w:szCs w:val="21"/>
                <w:highlight w:val="none"/>
              </w:rPr>
            </w:pPr>
            <w:r>
              <w:rPr>
                <w:rFonts w:hint="default" w:eastAsia="宋体"/>
                <w:color w:val="auto"/>
                <w:kern w:val="0"/>
                <w:sz w:val="21"/>
                <w:szCs w:val="21"/>
                <w:highlight w:val="none"/>
                <w:lang w:bidi="ar"/>
              </w:rPr>
              <w:t>(5)</w:t>
            </w:r>
          </w:p>
        </w:tc>
        <w:tc>
          <w:tcPr>
            <w:tcW w:w="4426" w:type="dxa"/>
            <w:tcBorders>
              <w:top w:val="nil"/>
              <w:left w:val="single" w:color="000000" w:sz="8" w:space="0"/>
              <w:bottom w:val="single" w:color="000000" w:sz="8" w:space="0"/>
              <w:right w:val="single" w:color="000000" w:sz="8" w:space="0"/>
            </w:tcBorders>
            <w:noWrap w:val="0"/>
            <w:vAlign w:val="center"/>
          </w:tcPr>
          <w:p w14:paraId="17B3CBB9">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w:t>
            </w:r>
            <w:r>
              <w:rPr>
                <w:rFonts w:eastAsia="宋体"/>
                <w:color w:val="auto"/>
                <w:kern w:val="0"/>
                <w:sz w:val="21"/>
                <w:szCs w:val="21"/>
                <w:highlight w:val="none"/>
                <w:lang w:bidi="ar"/>
              </w:rPr>
              <w:t>持续发挥作用</w:t>
            </w:r>
          </w:p>
        </w:tc>
        <w:tc>
          <w:tcPr>
            <w:tcW w:w="1165" w:type="dxa"/>
            <w:tcBorders>
              <w:top w:val="nil"/>
              <w:left w:val="single" w:color="000000" w:sz="8" w:space="0"/>
              <w:bottom w:val="single" w:color="000000" w:sz="8" w:space="0"/>
              <w:right w:val="single" w:color="000000" w:sz="8" w:space="0"/>
            </w:tcBorders>
            <w:noWrap w:val="0"/>
            <w:vAlign w:val="center"/>
          </w:tcPr>
          <w:p w14:paraId="653F261A">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single" w:color="000000" w:sz="8" w:space="0"/>
              <w:bottom w:val="single" w:color="000000" w:sz="8" w:space="0"/>
              <w:right w:val="single" w:color="000000" w:sz="8" w:space="0"/>
            </w:tcBorders>
            <w:shd w:val="clear" w:color="auto" w:fill="auto"/>
            <w:noWrap w:val="0"/>
            <w:vAlign w:val="center"/>
          </w:tcPr>
          <w:p w14:paraId="50A1867E">
            <w:pPr>
              <w:jc w:val="center"/>
              <w:rPr>
                <w:rFonts w:hint="default"/>
                <w:color w:val="auto"/>
                <w:kern w:val="0"/>
                <w:szCs w:val="21"/>
                <w:highlight w:val="none"/>
                <w:lang w:val="en-US" w:eastAsia="zh-CN"/>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C93FD22">
            <w:pPr>
              <w:jc w:val="center"/>
              <w:rPr>
                <w:rFonts w:hint="default"/>
                <w:color w:val="auto"/>
                <w:kern w:val="0"/>
                <w:szCs w:val="21"/>
                <w:highlight w:val="none"/>
                <w:lang w:val="en-US" w:eastAsia="zh-CN"/>
              </w:rPr>
            </w:pPr>
            <w:r>
              <w:rPr>
                <w:rFonts w:hint="default"/>
                <w:color w:val="auto"/>
                <w:kern w:val="0"/>
                <w:szCs w:val="21"/>
                <w:highlight w:val="none"/>
              </w:rPr>
              <w:t>是</w:t>
            </w:r>
          </w:p>
        </w:tc>
      </w:tr>
      <w:tr w14:paraId="0AA5680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8159C8B">
            <w:pPr>
              <w:jc w:val="center"/>
              <w:rPr>
                <w:rFonts w:hint="default" w:eastAsia="宋体"/>
                <w:b/>
                <w:bCs/>
                <w:color w:val="auto"/>
                <w:sz w:val="21"/>
                <w:szCs w:val="21"/>
                <w:highlight w:val="none"/>
              </w:rPr>
            </w:pPr>
            <w:r>
              <w:rPr>
                <w:rFonts w:hint="default" w:eastAsia="宋体"/>
                <w:b/>
                <w:bCs/>
                <w:color w:val="auto"/>
                <w:sz w:val="21"/>
                <w:szCs w:val="21"/>
                <w:highlight w:val="none"/>
              </w:rPr>
              <w:t>7</w:t>
            </w:r>
          </w:p>
        </w:tc>
        <w:tc>
          <w:tcPr>
            <w:tcW w:w="4426" w:type="dxa"/>
            <w:tcBorders>
              <w:top w:val="nil"/>
              <w:left w:val="single" w:color="000000" w:sz="8" w:space="0"/>
              <w:bottom w:val="single" w:color="000000" w:sz="8" w:space="0"/>
              <w:right w:val="single" w:color="000000" w:sz="8" w:space="0"/>
            </w:tcBorders>
            <w:noWrap w:val="0"/>
            <w:vAlign w:val="center"/>
          </w:tcPr>
          <w:p w14:paraId="56000D29">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旅游发展大会支持项目</w:t>
            </w:r>
          </w:p>
        </w:tc>
        <w:tc>
          <w:tcPr>
            <w:tcW w:w="1165" w:type="dxa"/>
            <w:tcBorders>
              <w:top w:val="nil"/>
              <w:left w:val="single" w:color="000000" w:sz="8" w:space="0"/>
              <w:bottom w:val="single" w:color="000000" w:sz="8" w:space="0"/>
              <w:right w:val="single" w:color="000000" w:sz="8" w:space="0"/>
            </w:tcBorders>
            <w:noWrap w:val="0"/>
            <w:vAlign w:val="center"/>
          </w:tcPr>
          <w:p w14:paraId="43AEF8F0">
            <w:pPr>
              <w:jc w:val="center"/>
              <w:rPr>
                <w:rFonts w:eastAsia="宋体"/>
                <w:b/>
                <w:bCs/>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5AD21FD9">
            <w:pPr>
              <w:jc w:val="center"/>
              <w:rPr>
                <w:rFonts w:hint="default"/>
                <w:color w:val="auto"/>
                <w:kern w:val="0"/>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68DEE6B0">
            <w:pPr>
              <w:jc w:val="center"/>
              <w:rPr>
                <w:rFonts w:hint="default"/>
                <w:color w:val="auto"/>
                <w:kern w:val="0"/>
                <w:szCs w:val="21"/>
                <w:highlight w:val="none"/>
              </w:rPr>
            </w:pPr>
          </w:p>
        </w:tc>
      </w:tr>
      <w:tr w14:paraId="1D73B09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434621C">
            <w:pPr>
              <w:widowControl/>
              <w:jc w:val="center"/>
              <w:textAlignment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6E72DEC4">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工程变更率</w:t>
            </w:r>
          </w:p>
        </w:tc>
        <w:tc>
          <w:tcPr>
            <w:tcW w:w="1165" w:type="dxa"/>
            <w:tcBorders>
              <w:top w:val="nil"/>
              <w:left w:val="single" w:color="000000" w:sz="8" w:space="0"/>
              <w:bottom w:val="single" w:color="000000" w:sz="8" w:space="0"/>
              <w:right w:val="single" w:color="000000" w:sz="8" w:space="0"/>
            </w:tcBorders>
            <w:noWrap w:val="0"/>
            <w:vAlign w:val="center"/>
          </w:tcPr>
          <w:p w14:paraId="634666BF">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p>
        </w:tc>
        <w:tc>
          <w:tcPr>
            <w:tcW w:w="1544" w:type="dxa"/>
            <w:tcBorders>
              <w:top w:val="nil"/>
              <w:left w:val="single" w:color="000000" w:sz="8" w:space="0"/>
              <w:bottom w:val="single" w:color="000000" w:sz="8" w:space="0"/>
              <w:right w:val="single" w:color="000000" w:sz="8" w:space="0"/>
            </w:tcBorders>
            <w:noWrap w:val="0"/>
            <w:vAlign w:val="center"/>
          </w:tcPr>
          <w:p w14:paraId="13BA261A">
            <w:pPr>
              <w:jc w:val="center"/>
              <w:rPr>
                <w:rFonts w:hint="default"/>
                <w:color w:val="auto"/>
                <w:kern w:val="0"/>
                <w:szCs w:val="21"/>
                <w:highlight w:val="none"/>
              </w:rPr>
            </w:pPr>
            <w:r>
              <w:rPr>
                <w:rFonts w:hint="default"/>
                <w:color w:val="auto"/>
                <w:kern w:val="0"/>
                <w:szCs w:val="21"/>
                <w:highlight w:val="none"/>
              </w:rPr>
              <w:t>≤15</w:t>
            </w:r>
          </w:p>
        </w:tc>
        <w:tc>
          <w:tcPr>
            <w:tcW w:w="1276" w:type="dxa"/>
            <w:tcBorders>
              <w:top w:val="nil"/>
              <w:left w:val="single" w:color="000000" w:sz="8" w:space="0"/>
              <w:bottom w:val="single" w:color="000000" w:sz="8" w:space="0"/>
              <w:right w:val="single" w:color="000000" w:sz="8" w:space="0"/>
            </w:tcBorders>
            <w:noWrap w:val="0"/>
            <w:vAlign w:val="center"/>
          </w:tcPr>
          <w:p w14:paraId="7C40D0BA">
            <w:pPr>
              <w:jc w:val="center"/>
              <w:rPr>
                <w:rFonts w:hint="eastAsia"/>
                <w:color w:val="auto"/>
                <w:kern w:val="0"/>
                <w:szCs w:val="21"/>
                <w:highlight w:val="none"/>
                <w:lang w:val="en-US" w:eastAsia="zh-CN"/>
              </w:rPr>
            </w:pPr>
            <w:r>
              <w:rPr>
                <w:rFonts w:hint="default"/>
                <w:color w:val="auto"/>
                <w:kern w:val="0"/>
                <w:szCs w:val="21"/>
                <w:highlight w:val="none"/>
              </w:rPr>
              <w:t>≤15</w:t>
            </w:r>
          </w:p>
        </w:tc>
      </w:tr>
      <w:tr w14:paraId="68F9081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AF165D8">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4597BFCD">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支持项目建设过程中重大环境污染事项发生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25B73880">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single" w:color="000000" w:sz="8" w:space="0"/>
              <w:bottom w:val="single" w:color="000000" w:sz="8" w:space="0"/>
              <w:right w:val="single" w:color="000000" w:sz="8" w:space="0"/>
            </w:tcBorders>
            <w:noWrap w:val="0"/>
            <w:vAlign w:val="center"/>
          </w:tcPr>
          <w:p w14:paraId="2F3A03F1">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16CD09F2">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4407D35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50CD8AB">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3</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5B3DFEC1">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竣工验收合格率</w:t>
            </w:r>
          </w:p>
        </w:tc>
        <w:tc>
          <w:tcPr>
            <w:tcW w:w="1165" w:type="dxa"/>
            <w:tcBorders>
              <w:top w:val="nil"/>
              <w:left w:val="single" w:color="000000" w:sz="8" w:space="0"/>
              <w:bottom w:val="single" w:color="000000" w:sz="8" w:space="0"/>
              <w:right w:val="single" w:color="000000" w:sz="8" w:space="0"/>
            </w:tcBorders>
            <w:noWrap w:val="0"/>
            <w:vAlign w:val="center"/>
          </w:tcPr>
          <w:p w14:paraId="7B3B3AA5">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p>
        </w:tc>
        <w:tc>
          <w:tcPr>
            <w:tcW w:w="1544" w:type="dxa"/>
            <w:tcBorders>
              <w:top w:val="nil"/>
              <w:left w:val="single" w:color="000000" w:sz="8" w:space="0"/>
              <w:bottom w:val="single" w:color="000000" w:sz="8" w:space="0"/>
              <w:right w:val="single" w:color="000000" w:sz="8" w:space="0"/>
            </w:tcBorders>
            <w:shd w:val="clear" w:color="auto" w:fill="auto"/>
            <w:noWrap w:val="0"/>
            <w:vAlign w:val="center"/>
          </w:tcPr>
          <w:p w14:paraId="2CE98C50">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6D3B553">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r>
      <w:tr w14:paraId="7C009EF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E1A902F">
            <w:pPr>
              <w:jc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4</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28D87A7F">
            <w:pPr>
              <w:widowControl/>
              <w:jc w:val="center"/>
              <w:textAlignment w:val="center"/>
              <w:rPr>
                <w:rFonts w:eastAsia="宋体"/>
                <w:color w:val="auto"/>
                <w:kern w:val="0"/>
                <w:sz w:val="21"/>
                <w:szCs w:val="21"/>
                <w:highlight w:val="none"/>
                <w:lang w:bidi="ar"/>
              </w:rPr>
            </w:pPr>
            <w:r>
              <w:rPr>
                <w:rFonts w:hint="eastAsia" w:eastAsia="宋体"/>
                <w:color w:val="auto"/>
                <w:kern w:val="0"/>
                <w:sz w:val="21"/>
                <w:szCs w:val="21"/>
                <w:highlight w:val="none"/>
                <w:lang w:bidi="ar"/>
              </w:rPr>
              <w:t>2024年项目完工率</w:t>
            </w:r>
          </w:p>
        </w:tc>
        <w:tc>
          <w:tcPr>
            <w:tcW w:w="1165" w:type="dxa"/>
            <w:tcBorders>
              <w:top w:val="nil"/>
              <w:left w:val="single" w:color="000000" w:sz="8" w:space="0"/>
              <w:bottom w:val="single" w:color="000000" w:sz="8" w:space="0"/>
              <w:right w:val="single" w:color="000000" w:sz="8" w:space="0"/>
            </w:tcBorders>
            <w:noWrap w:val="0"/>
            <w:vAlign w:val="center"/>
          </w:tcPr>
          <w:p w14:paraId="63FF7958">
            <w:pPr>
              <w:widowControl/>
              <w:jc w:val="center"/>
              <w:textAlignment w:val="center"/>
              <w:rPr>
                <w:rFonts w:hint="eastAsia" w:eastAsia="宋体"/>
                <w:color w:val="auto"/>
                <w:kern w:val="0"/>
                <w:sz w:val="21"/>
                <w:szCs w:val="21"/>
                <w:highlight w:val="none"/>
                <w:lang w:eastAsia="zh-CN" w:bidi="ar"/>
              </w:rPr>
            </w:pPr>
            <w:r>
              <w:rPr>
                <w:rFonts w:hint="eastAsia"/>
                <w:color w:val="auto"/>
                <w:kern w:val="0"/>
                <w:sz w:val="21"/>
                <w:szCs w:val="21"/>
                <w:highlight w:val="none"/>
                <w:lang w:val="en-US" w:eastAsia="zh-CN" w:bidi="ar"/>
              </w:rPr>
              <w:t>%</w:t>
            </w:r>
          </w:p>
        </w:tc>
        <w:tc>
          <w:tcPr>
            <w:tcW w:w="1544" w:type="dxa"/>
            <w:tcBorders>
              <w:top w:val="nil"/>
              <w:left w:val="single" w:color="000000" w:sz="8" w:space="0"/>
              <w:bottom w:val="single" w:color="000000" w:sz="8" w:space="0"/>
              <w:right w:val="single" w:color="000000" w:sz="8" w:space="0"/>
            </w:tcBorders>
            <w:noWrap w:val="0"/>
            <w:vAlign w:val="center"/>
          </w:tcPr>
          <w:p w14:paraId="150E5996">
            <w:pPr>
              <w:jc w:val="center"/>
              <w:rPr>
                <w:rFonts w:hint="default"/>
                <w:color w:val="auto"/>
                <w:kern w:val="0"/>
                <w:szCs w:val="21"/>
                <w:highlight w:val="none"/>
              </w:rPr>
            </w:pPr>
            <w:r>
              <w:rPr>
                <w:rFonts w:hint="default"/>
                <w:color w:val="auto"/>
                <w:kern w:val="0"/>
                <w:szCs w:val="21"/>
                <w:highlight w:val="none"/>
              </w:rPr>
              <w:t>100</w:t>
            </w:r>
          </w:p>
        </w:tc>
        <w:tc>
          <w:tcPr>
            <w:tcW w:w="1276" w:type="dxa"/>
            <w:tcBorders>
              <w:top w:val="nil"/>
              <w:left w:val="single" w:color="000000" w:sz="8" w:space="0"/>
              <w:bottom w:val="single" w:color="000000" w:sz="8" w:space="0"/>
              <w:right w:val="single" w:color="000000" w:sz="8" w:space="0"/>
            </w:tcBorders>
            <w:noWrap w:val="0"/>
            <w:vAlign w:val="center"/>
          </w:tcPr>
          <w:p w14:paraId="3FA0C281">
            <w:pPr>
              <w:jc w:val="center"/>
              <w:rPr>
                <w:rFonts w:hint="default"/>
                <w:color w:val="auto"/>
                <w:kern w:val="0"/>
                <w:szCs w:val="21"/>
                <w:highlight w:val="none"/>
              </w:rPr>
            </w:pPr>
            <w:r>
              <w:rPr>
                <w:rFonts w:hint="default"/>
                <w:color w:val="auto"/>
                <w:kern w:val="0"/>
                <w:szCs w:val="21"/>
                <w:highlight w:val="none"/>
              </w:rPr>
              <w:t>100</w:t>
            </w:r>
          </w:p>
        </w:tc>
      </w:tr>
      <w:tr w14:paraId="542C4B0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BE89CA6">
            <w:pPr>
              <w:jc w:val="center"/>
              <w:rPr>
                <w:rFonts w:eastAsia="宋体"/>
                <w:color w:val="auto"/>
                <w:sz w:val="21"/>
                <w:szCs w:val="21"/>
                <w:highlight w:val="none"/>
              </w:rPr>
            </w:pPr>
            <w:r>
              <w:rPr>
                <w:rFonts w:hint="default" w:eastAsia="宋体"/>
                <w:color w:val="auto"/>
                <w:kern w:val="0"/>
                <w:sz w:val="21"/>
                <w:szCs w:val="21"/>
                <w:highlight w:val="none"/>
                <w:lang w:bidi="ar"/>
              </w:rPr>
              <w:t>(5)</w:t>
            </w:r>
          </w:p>
        </w:tc>
        <w:tc>
          <w:tcPr>
            <w:tcW w:w="4426" w:type="dxa"/>
            <w:tcBorders>
              <w:top w:val="nil"/>
              <w:left w:val="single" w:color="000000" w:sz="8" w:space="0"/>
              <w:bottom w:val="single" w:color="000000" w:sz="8" w:space="0"/>
              <w:right w:val="single" w:color="000000" w:sz="8" w:space="0"/>
            </w:tcBorders>
            <w:noWrap w:val="0"/>
            <w:vAlign w:val="center"/>
          </w:tcPr>
          <w:p w14:paraId="61805541">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拉动固定资产投资</w:t>
            </w:r>
          </w:p>
        </w:tc>
        <w:tc>
          <w:tcPr>
            <w:tcW w:w="1165" w:type="dxa"/>
            <w:tcBorders>
              <w:top w:val="nil"/>
              <w:left w:val="single" w:color="000000" w:sz="8" w:space="0"/>
              <w:bottom w:val="single" w:color="000000" w:sz="8" w:space="0"/>
              <w:right w:val="single" w:color="000000" w:sz="8" w:space="0"/>
            </w:tcBorders>
            <w:noWrap w:val="0"/>
            <w:vAlign w:val="center"/>
          </w:tcPr>
          <w:p w14:paraId="03F89DD9">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45D469C8">
            <w:pPr>
              <w:jc w:val="center"/>
              <w:rPr>
                <w:rFonts w:hint="default"/>
                <w:color w:val="auto"/>
                <w:kern w:val="0"/>
                <w:szCs w:val="21"/>
                <w:highlight w:val="none"/>
              </w:rPr>
            </w:pPr>
            <w:r>
              <w:rPr>
                <w:rFonts w:hint="default"/>
                <w:color w:val="auto"/>
                <w:kern w:val="0"/>
                <w:szCs w:val="21"/>
                <w:highlight w:val="none"/>
              </w:rPr>
              <w:t>≥2000</w:t>
            </w:r>
          </w:p>
        </w:tc>
        <w:tc>
          <w:tcPr>
            <w:tcW w:w="1276" w:type="dxa"/>
            <w:tcBorders>
              <w:top w:val="nil"/>
              <w:left w:val="single" w:color="000000" w:sz="8" w:space="0"/>
              <w:bottom w:val="single" w:color="000000" w:sz="8" w:space="0"/>
              <w:right w:val="single" w:color="000000" w:sz="8" w:space="0"/>
            </w:tcBorders>
            <w:noWrap w:val="0"/>
            <w:vAlign w:val="center"/>
          </w:tcPr>
          <w:p w14:paraId="00FDEC4A">
            <w:pPr>
              <w:jc w:val="center"/>
              <w:rPr>
                <w:rFonts w:hint="default"/>
                <w:color w:val="auto"/>
                <w:kern w:val="0"/>
                <w:szCs w:val="21"/>
                <w:highlight w:val="none"/>
              </w:rPr>
            </w:pPr>
            <w:r>
              <w:rPr>
                <w:rFonts w:hint="eastAsia"/>
                <w:color w:val="auto"/>
                <w:kern w:val="0"/>
                <w:szCs w:val="21"/>
                <w:highlight w:val="none"/>
                <w:lang w:val="en-US" w:eastAsia="zh-CN"/>
              </w:rPr>
              <w:t>20</w:t>
            </w:r>
            <w:r>
              <w:rPr>
                <w:rFonts w:hint="default"/>
                <w:color w:val="auto"/>
                <w:kern w:val="0"/>
                <w:szCs w:val="21"/>
                <w:highlight w:val="none"/>
              </w:rPr>
              <w:t>99.86</w:t>
            </w:r>
          </w:p>
        </w:tc>
      </w:tr>
      <w:tr w14:paraId="5070D92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1D0AD91">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(6)</w:t>
            </w:r>
          </w:p>
        </w:tc>
        <w:tc>
          <w:tcPr>
            <w:tcW w:w="4426" w:type="dxa"/>
            <w:tcBorders>
              <w:top w:val="nil"/>
              <w:left w:val="single" w:color="000000" w:sz="8" w:space="0"/>
              <w:bottom w:val="single" w:color="000000" w:sz="8" w:space="0"/>
              <w:right w:val="single" w:color="000000" w:sz="8" w:space="0"/>
            </w:tcBorders>
            <w:noWrap w:val="0"/>
            <w:vAlign w:val="center"/>
          </w:tcPr>
          <w:p w14:paraId="3445A712">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项目建设过程中重大安全事故发生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3862C64C">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single" w:color="000000" w:sz="8" w:space="0"/>
              <w:bottom w:val="single" w:color="000000" w:sz="8" w:space="0"/>
              <w:right w:val="single" w:color="000000" w:sz="8" w:space="0"/>
            </w:tcBorders>
            <w:noWrap w:val="0"/>
            <w:vAlign w:val="center"/>
          </w:tcPr>
          <w:p w14:paraId="3E7EC84D">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0FC44555">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6D74E3D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0EDA647">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(7)</w:t>
            </w:r>
          </w:p>
        </w:tc>
        <w:tc>
          <w:tcPr>
            <w:tcW w:w="4426" w:type="dxa"/>
            <w:tcBorders>
              <w:top w:val="nil"/>
              <w:left w:val="single" w:color="000000" w:sz="8" w:space="0"/>
              <w:bottom w:val="single" w:color="000000" w:sz="8" w:space="0"/>
              <w:right w:val="single" w:color="000000" w:sz="8" w:space="0"/>
            </w:tcBorders>
            <w:noWrap w:val="0"/>
            <w:vAlign w:val="center"/>
          </w:tcPr>
          <w:p w14:paraId="2042028E">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w:t>
            </w:r>
            <w:r>
              <w:rPr>
                <w:rFonts w:eastAsia="宋体"/>
                <w:color w:val="auto"/>
                <w:kern w:val="0"/>
                <w:sz w:val="21"/>
                <w:szCs w:val="21"/>
                <w:highlight w:val="none"/>
                <w:lang w:bidi="ar"/>
              </w:rPr>
              <w:t>持续发挥作用</w:t>
            </w:r>
          </w:p>
        </w:tc>
        <w:tc>
          <w:tcPr>
            <w:tcW w:w="1165" w:type="dxa"/>
            <w:tcBorders>
              <w:top w:val="nil"/>
              <w:left w:val="single" w:color="000000" w:sz="8" w:space="0"/>
              <w:bottom w:val="single" w:color="000000" w:sz="8" w:space="0"/>
              <w:right w:val="single" w:color="000000" w:sz="8" w:space="0"/>
            </w:tcBorders>
            <w:noWrap w:val="0"/>
            <w:vAlign w:val="center"/>
          </w:tcPr>
          <w:p w14:paraId="16EAD4E0">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single" w:color="000000" w:sz="8" w:space="0"/>
              <w:bottom w:val="single" w:color="000000" w:sz="8" w:space="0"/>
              <w:right w:val="single" w:color="000000" w:sz="8" w:space="0"/>
            </w:tcBorders>
            <w:shd w:val="clear" w:color="auto" w:fill="auto"/>
            <w:noWrap w:val="0"/>
            <w:vAlign w:val="center"/>
          </w:tcPr>
          <w:p w14:paraId="62C91A3E">
            <w:pPr>
              <w:jc w:val="center"/>
              <w:rPr>
                <w:rFonts w:hint="default"/>
                <w:color w:val="auto"/>
                <w:kern w:val="0"/>
                <w:szCs w:val="21"/>
                <w:highlight w:val="none"/>
                <w:lang w:val="en-US" w:eastAsia="zh-CN"/>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2E230094">
            <w:pPr>
              <w:jc w:val="center"/>
              <w:rPr>
                <w:rFonts w:hint="default"/>
                <w:color w:val="auto"/>
                <w:kern w:val="0"/>
                <w:szCs w:val="21"/>
                <w:highlight w:val="none"/>
                <w:lang w:val="en-US" w:eastAsia="zh-CN"/>
              </w:rPr>
            </w:pPr>
            <w:r>
              <w:rPr>
                <w:rFonts w:hint="default"/>
                <w:color w:val="auto"/>
                <w:kern w:val="0"/>
                <w:szCs w:val="21"/>
                <w:highlight w:val="none"/>
              </w:rPr>
              <w:t>是</w:t>
            </w:r>
          </w:p>
        </w:tc>
      </w:tr>
      <w:tr w14:paraId="2017F239">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779998C">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(8)</w:t>
            </w:r>
          </w:p>
        </w:tc>
        <w:tc>
          <w:tcPr>
            <w:tcW w:w="4426" w:type="dxa"/>
            <w:tcBorders>
              <w:top w:val="nil"/>
              <w:left w:val="single" w:color="000000" w:sz="8" w:space="0"/>
              <w:bottom w:val="single" w:color="000000" w:sz="8" w:space="0"/>
              <w:right w:val="single" w:color="000000" w:sz="8" w:space="0"/>
            </w:tcBorders>
            <w:noWrap w:val="0"/>
            <w:vAlign w:val="center"/>
          </w:tcPr>
          <w:p w14:paraId="080DA7AF">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是否提升</w:t>
            </w:r>
            <w:r>
              <w:rPr>
                <w:rFonts w:eastAsia="宋体"/>
                <w:color w:val="auto"/>
                <w:kern w:val="0"/>
                <w:sz w:val="21"/>
                <w:szCs w:val="21"/>
                <w:highlight w:val="none"/>
                <w:lang w:bidi="ar"/>
              </w:rPr>
              <w:t>当地形象影响</w:t>
            </w:r>
          </w:p>
        </w:tc>
        <w:tc>
          <w:tcPr>
            <w:tcW w:w="1165" w:type="dxa"/>
            <w:tcBorders>
              <w:top w:val="nil"/>
              <w:left w:val="single" w:color="000000" w:sz="8" w:space="0"/>
              <w:bottom w:val="single" w:color="000000" w:sz="8" w:space="0"/>
              <w:right w:val="single" w:color="000000" w:sz="8" w:space="0"/>
            </w:tcBorders>
            <w:noWrap w:val="0"/>
            <w:vAlign w:val="center"/>
          </w:tcPr>
          <w:p w14:paraId="39A71FD8">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single" w:color="000000" w:sz="8" w:space="0"/>
              <w:bottom w:val="single" w:color="000000" w:sz="8" w:space="0"/>
              <w:right w:val="single" w:color="000000" w:sz="8" w:space="0"/>
            </w:tcBorders>
            <w:shd w:val="clear" w:color="auto" w:fill="auto"/>
            <w:noWrap w:val="0"/>
            <w:vAlign w:val="center"/>
          </w:tcPr>
          <w:p w14:paraId="15B0AAF2">
            <w:pPr>
              <w:jc w:val="center"/>
              <w:rPr>
                <w:rFonts w:hint="default"/>
                <w:color w:val="auto"/>
                <w:kern w:val="0"/>
                <w:szCs w:val="21"/>
                <w:highlight w:val="none"/>
                <w:lang w:val="en-US" w:eastAsia="zh-CN"/>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358EAD9A">
            <w:pPr>
              <w:jc w:val="center"/>
              <w:rPr>
                <w:rFonts w:hint="default"/>
                <w:color w:val="auto"/>
                <w:kern w:val="0"/>
                <w:szCs w:val="21"/>
                <w:highlight w:val="none"/>
                <w:lang w:val="en-US" w:eastAsia="zh-CN"/>
              </w:rPr>
            </w:pPr>
            <w:r>
              <w:rPr>
                <w:rFonts w:hint="default"/>
                <w:color w:val="auto"/>
                <w:kern w:val="0"/>
                <w:szCs w:val="21"/>
                <w:highlight w:val="none"/>
              </w:rPr>
              <w:t>是</w:t>
            </w:r>
          </w:p>
        </w:tc>
      </w:tr>
      <w:tr w14:paraId="303606D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C59F2BC">
            <w:pPr>
              <w:widowControl/>
              <w:jc w:val="center"/>
              <w:textAlignment w:val="center"/>
              <w:rPr>
                <w:rFonts w:hint="default" w:eastAsia="宋体"/>
                <w:b/>
                <w:bCs/>
                <w:color w:val="auto"/>
                <w:kern w:val="0"/>
                <w:sz w:val="21"/>
                <w:szCs w:val="21"/>
                <w:highlight w:val="none"/>
                <w:lang w:bidi="ar"/>
              </w:rPr>
            </w:pPr>
            <w:r>
              <w:rPr>
                <w:rFonts w:hint="default" w:eastAsia="宋体"/>
                <w:b/>
                <w:bCs/>
                <w:color w:val="auto"/>
                <w:kern w:val="0"/>
                <w:sz w:val="21"/>
                <w:szCs w:val="21"/>
                <w:highlight w:val="none"/>
                <w:lang w:bidi="ar"/>
              </w:rPr>
              <w:t>8</w:t>
            </w:r>
          </w:p>
        </w:tc>
        <w:tc>
          <w:tcPr>
            <w:tcW w:w="4426" w:type="dxa"/>
            <w:tcBorders>
              <w:top w:val="nil"/>
              <w:left w:val="single" w:color="000000" w:sz="8" w:space="0"/>
              <w:bottom w:val="single" w:color="000000" w:sz="8" w:space="0"/>
              <w:right w:val="single" w:color="000000" w:sz="8" w:space="0"/>
            </w:tcBorders>
            <w:noWrap w:val="0"/>
            <w:vAlign w:val="center"/>
          </w:tcPr>
          <w:p w14:paraId="131D0983">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省级储备粮仓储建设项目</w:t>
            </w:r>
          </w:p>
        </w:tc>
        <w:tc>
          <w:tcPr>
            <w:tcW w:w="1165" w:type="dxa"/>
            <w:tcBorders>
              <w:top w:val="nil"/>
              <w:left w:val="single" w:color="000000" w:sz="8" w:space="0"/>
              <w:bottom w:val="single" w:color="000000" w:sz="8" w:space="0"/>
              <w:right w:val="single" w:color="000000" w:sz="8" w:space="0"/>
            </w:tcBorders>
            <w:noWrap w:val="0"/>
            <w:vAlign w:val="center"/>
          </w:tcPr>
          <w:p w14:paraId="2A7A765F">
            <w:pPr>
              <w:jc w:val="center"/>
              <w:rPr>
                <w:rFonts w:eastAsia="宋体"/>
                <w:b/>
                <w:bCs/>
                <w:color w:val="auto"/>
                <w:sz w:val="21"/>
                <w:szCs w:val="21"/>
                <w:highlight w:val="none"/>
              </w:rPr>
            </w:pPr>
          </w:p>
        </w:tc>
        <w:tc>
          <w:tcPr>
            <w:tcW w:w="1544" w:type="dxa"/>
            <w:tcBorders>
              <w:top w:val="nil"/>
              <w:left w:val="single" w:color="000000" w:sz="8" w:space="0"/>
              <w:bottom w:val="single" w:color="000000" w:sz="8" w:space="0"/>
              <w:right w:val="single" w:color="000000" w:sz="8" w:space="0"/>
            </w:tcBorders>
            <w:noWrap w:val="0"/>
            <w:vAlign w:val="center"/>
          </w:tcPr>
          <w:p w14:paraId="4A4E5B77">
            <w:pPr>
              <w:jc w:val="center"/>
              <w:rPr>
                <w:rFonts w:hint="default"/>
                <w:color w:val="auto"/>
                <w:kern w:val="0"/>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43A0B06F">
            <w:pPr>
              <w:jc w:val="center"/>
              <w:rPr>
                <w:rFonts w:hint="default"/>
                <w:color w:val="auto"/>
                <w:kern w:val="0"/>
                <w:szCs w:val="21"/>
                <w:highlight w:val="none"/>
              </w:rPr>
            </w:pPr>
          </w:p>
        </w:tc>
      </w:tr>
      <w:tr w14:paraId="130EBEB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6C41004">
            <w:pPr>
              <w:widowControl/>
              <w:jc w:val="center"/>
              <w:textAlignment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17CB7B48">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仓储运输环节降损</w:t>
            </w:r>
            <w:r>
              <w:rPr>
                <w:rFonts w:hint="default" w:eastAsia="宋体"/>
                <w:color w:val="auto"/>
                <w:kern w:val="0"/>
                <w:sz w:val="21"/>
                <w:szCs w:val="21"/>
                <w:highlight w:val="none"/>
                <w:lang w:bidi="ar"/>
              </w:rPr>
              <w:t>情况</w:t>
            </w:r>
          </w:p>
        </w:tc>
        <w:tc>
          <w:tcPr>
            <w:tcW w:w="1165" w:type="dxa"/>
            <w:tcBorders>
              <w:top w:val="nil"/>
              <w:left w:val="single" w:color="000000" w:sz="8" w:space="0"/>
              <w:bottom w:val="single" w:color="000000" w:sz="8" w:space="0"/>
              <w:right w:val="single" w:color="000000" w:sz="8" w:space="0"/>
            </w:tcBorders>
            <w:noWrap w:val="0"/>
            <w:vAlign w:val="center"/>
          </w:tcPr>
          <w:p w14:paraId="3191D1FD">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是否降低</w:t>
            </w:r>
          </w:p>
        </w:tc>
        <w:tc>
          <w:tcPr>
            <w:tcW w:w="1544" w:type="dxa"/>
            <w:tcBorders>
              <w:top w:val="nil"/>
              <w:left w:val="single" w:color="000000" w:sz="8" w:space="0"/>
              <w:bottom w:val="single" w:color="000000" w:sz="8" w:space="0"/>
              <w:right w:val="single" w:color="000000" w:sz="8" w:space="0"/>
            </w:tcBorders>
            <w:noWrap w:val="0"/>
            <w:vAlign w:val="center"/>
          </w:tcPr>
          <w:p w14:paraId="27937C19">
            <w:pPr>
              <w:jc w:val="center"/>
              <w:rPr>
                <w:rFonts w:hint="default"/>
                <w:color w:val="auto"/>
                <w:kern w:val="0"/>
                <w:szCs w:val="21"/>
                <w:highlight w:val="none"/>
              </w:rPr>
            </w:pPr>
            <w:r>
              <w:rPr>
                <w:rFonts w:hint="default"/>
                <w:color w:val="auto"/>
                <w:kern w:val="0"/>
                <w:szCs w:val="21"/>
                <w:highlight w:val="none"/>
              </w:rPr>
              <w:t>稳步降低</w:t>
            </w:r>
          </w:p>
        </w:tc>
        <w:tc>
          <w:tcPr>
            <w:tcW w:w="1276" w:type="dxa"/>
            <w:tcBorders>
              <w:top w:val="nil"/>
              <w:left w:val="single" w:color="000000" w:sz="8" w:space="0"/>
              <w:bottom w:val="single" w:color="000000" w:sz="8" w:space="0"/>
              <w:right w:val="single" w:color="000000" w:sz="8" w:space="0"/>
            </w:tcBorders>
            <w:noWrap w:val="0"/>
            <w:vAlign w:val="center"/>
          </w:tcPr>
          <w:p w14:paraId="4F8EBCE5">
            <w:pPr>
              <w:jc w:val="center"/>
              <w:rPr>
                <w:rFonts w:hint="default"/>
                <w:color w:val="auto"/>
                <w:kern w:val="0"/>
                <w:szCs w:val="21"/>
                <w:highlight w:val="none"/>
              </w:rPr>
            </w:pPr>
            <w:r>
              <w:rPr>
                <w:rFonts w:hint="default"/>
                <w:color w:val="auto"/>
                <w:kern w:val="0"/>
                <w:szCs w:val="21"/>
                <w:highlight w:val="none"/>
              </w:rPr>
              <w:t>稳步降低</w:t>
            </w:r>
          </w:p>
        </w:tc>
      </w:tr>
      <w:tr w14:paraId="2DA6430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8207DCD">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45F4AAEE">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新建仓容规模（麦容）</w:t>
            </w:r>
          </w:p>
        </w:tc>
        <w:tc>
          <w:tcPr>
            <w:tcW w:w="1165" w:type="dxa"/>
            <w:tcBorders>
              <w:top w:val="nil"/>
              <w:left w:val="single" w:color="000000" w:sz="8" w:space="0"/>
              <w:bottom w:val="single" w:color="000000" w:sz="8" w:space="0"/>
              <w:right w:val="single" w:color="000000" w:sz="8" w:space="0"/>
            </w:tcBorders>
            <w:noWrap w:val="0"/>
            <w:vAlign w:val="center"/>
          </w:tcPr>
          <w:p w14:paraId="719C2D67">
            <w:pPr>
              <w:jc w:val="center"/>
              <w:rPr>
                <w:rFonts w:eastAsia="宋体"/>
                <w:color w:val="auto"/>
                <w:sz w:val="21"/>
                <w:szCs w:val="21"/>
                <w:highlight w:val="none"/>
              </w:rPr>
            </w:pPr>
            <w:r>
              <w:rPr>
                <w:rFonts w:hint="default" w:eastAsia="宋体"/>
                <w:color w:val="auto"/>
                <w:sz w:val="21"/>
                <w:szCs w:val="21"/>
                <w:highlight w:val="none"/>
              </w:rPr>
              <w:t>万吨</w:t>
            </w:r>
          </w:p>
        </w:tc>
        <w:tc>
          <w:tcPr>
            <w:tcW w:w="1544" w:type="dxa"/>
            <w:tcBorders>
              <w:top w:val="nil"/>
              <w:left w:val="single" w:color="000000" w:sz="8" w:space="0"/>
              <w:bottom w:val="single" w:color="000000" w:sz="8" w:space="0"/>
              <w:right w:val="single" w:color="000000" w:sz="8" w:space="0"/>
            </w:tcBorders>
            <w:noWrap w:val="0"/>
            <w:vAlign w:val="center"/>
          </w:tcPr>
          <w:p w14:paraId="14F8A43B">
            <w:pPr>
              <w:jc w:val="center"/>
              <w:rPr>
                <w:rFonts w:hint="default"/>
                <w:color w:val="auto"/>
                <w:kern w:val="0"/>
                <w:szCs w:val="21"/>
                <w:highlight w:val="none"/>
              </w:rPr>
            </w:pPr>
            <w:r>
              <w:rPr>
                <w:rFonts w:hint="default"/>
                <w:color w:val="auto"/>
                <w:kern w:val="0"/>
                <w:szCs w:val="21"/>
                <w:highlight w:val="none"/>
              </w:rPr>
              <w:t>≥12.9</w:t>
            </w:r>
          </w:p>
        </w:tc>
        <w:tc>
          <w:tcPr>
            <w:tcW w:w="1276" w:type="dxa"/>
            <w:tcBorders>
              <w:top w:val="nil"/>
              <w:left w:val="single" w:color="000000" w:sz="8" w:space="0"/>
              <w:bottom w:val="single" w:color="000000" w:sz="8" w:space="0"/>
              <w:right w:val="single" w:color="000000" w:sz="8" w:space="0"/>
            </w:tcBorders>
            <w:noWrap w:val="0"/>
            <w:vAlign w:val="center"/>
          </w:tcPr>
          <w:p w14:paraId="7E20A55F">
            <w:pPr>
              <w:jc w:val="center"/>
              <w:rPr>
                <w:rFonts w:hint="default"/>
                <w:color w:val="auto"/>
                <w:kern w:val="0"/>
                <w:szCs w:val="21"/>
                <w:highlight w:val="none"/>
              </w:rPr>
            </w:pPr>
            <w:r>
              <w:rPr>
                <w:rFonts w:hint="default"/>
                <w:color w:val="auto"/>
                <w:kern w:val="0"/>
                <w:szCs w:val="21"/>
                <w:highlight w:val="none"/>
              </w:rPr>
              <w:t>12.9</w:t>
            </w:r>
          </w:p>
        </w:tc>
      </w:tr>
      <w:tr w14:paraId="23A8147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AD73A40">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3</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7A46E17B">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改造升级仓容（麦容）</w:t>
            </w:r>
          </w:p>
        </w:tc>
        <w:tc>
          <w:tcPr>
            <w:tcW w:w="1165" w:type="dxa"/>
            <w:tcBorders>
              <w:top w:val="nil"/>
              <w:left w:val="single" w:color="000000" w:sz="8" w:space="0"/>
              <w:bottom w:val="single" w:color="000000" w:sz="8" w:space="0"/>
              <w:right w:val="single" w:color="000000" w:sz="8" w:space="0"/>
            </w:tcBorders>
            <w:noWrap w:val="0"/>
            <w:vAlign w:val="center"/>
          </w:tcPr>
          <w:p w14:paraId="43D98458">
            <w:pPr>
              <w:jc w:val="center"/>
              <w:rPr>
                <w:rFonts w:eastAsia="宋体"/>
                <w:color w:val="auto"/>
                <w:sz w:val="21"/>
                <w:szCs w:val="21"/>
                <w:highlight w:val="none"/>
              </w:rPr>
            </w:pPr>
            <w:r>
              <w:rPr>
                <w:rFonts w:hint="default" w:eastAsia="宋体"/>
                <w:color w:val="auto"/>
                <w:sz w:val="21"/>
                <w:szCs w:val="21"/>
                <w:highlight w:val="none"/>
              </w:rPr>
              <w:t>万吨</w:t>
            </w:r>
          </w:p>
        </w:tc>
        <w:tc>
          <w:tcPr>
            <w:tcW w:w="1544" w:type="dxa"/>
            <w:tcBorders>
              <w:top w:val="nil"/>
              <w:left w:val="single" w:color="000000" w:sz="8" w:space="0"/>
              <w:bottom w:val="single" w:color="000000" w:sz="8" w:space="0"/>
              <w:right w:val="single" w:color="000000" w:sz="8" w:space="0"/>
            </w:tcBorders>
            <w:noWrap w:val="0"/>
            <w:vAlign w:val="center"/>
          </w:tcPr>
          <w:p w14:paraId="0B11C110">
            <w:pPr>
              <w:jc w:val="center"/>
              <w:rPr>
                <w:rFonts w:hint="default"/>
                <w:color w:val="auto"/>
                <w:kern w:val="0"/>
                <w:szCs w:val="21"/>
                <w:highlight w:val="none"/>
              </w:rPr>
            </w:pPr>
            <w:r>
              <w:rPr>
                <w:rFonts w:hint="default"/>
                <w:color w:val="auto"/>
                <w:kern w:val="0"/>
                <w:szCs w:val="21"/>
                <w:highlight w:val="none"/>
              </w:rPr>
              <w:t>≥4.08</w:t>
            </w:r>
          </w:p>
        </w:tc>
        <w:tc>
          <w:tcPr>
            <w:tcW w:w="1276" w:type="dxa"/>
            <w:tcBorders>
              <w:top w:val="nil"/>
              <w:left w:val="single" w:color="000000" w:sz="8" w:space="0"/>
              <w:bottom w:val="single" w:color="000000" w:sz="8" w:space="0"/>
              <w:right w:val="single" w:color="000000" w:sz="8" w:space="0"/>
            </w:tcBorders>
            <w:noWrap w:val="0"/>
            <w:vAlign w:val="center"/>
          </w:tcPr>
          <w:p w14:paraId="7DAA5567">
            <w:pPr>
              <w:jc w:val="center"/>
              <w:rPr>
                <w:rFonts w:hint="default"/>
                <w:color w:val="auto"/>
                <w:kern w:val="0"/>
                <w:szCs w:val="21"/>
                <w:highlight w:val="none"/>
              </w:rPr>
            </w:pPr>
            <w:r>
              <w:rPr>
                <w:rFonts w:hint="default"/>
                <w:color w:val="auto"/>
                <w:kern w:val="0"/>
                <w:szCs w:val="21"/>
                <w:highlight w:val="none"/>
              </w:rPr>
              <w:t>4.08</w:t>
            </w:r>
          </w:p>
        </w:tc>
      </w:tr>
      <w:tr w14:paraId="6A9E18F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67D7F27">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4</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530E0175">
            <w:pPr>
              <w:widowControl/>
              <w:jc w:val="center"/>
              <w:textAlignment w:val="center"/>
              <w:rPr>
                <w:rFonts w:eastAsia="宋体"/>
                <w:color w:val="auto"/>
                <w:sz w:val="21"/>
                <w:szCs w:val="21"/>
                <w:highlight w:val="none"/>
              </w:rPr>
            </w:pPr>
            <w:r>
              <w:rPr>
                <w:rFonts w:eastAsia="宋体"/>
                <w:color w:val="auto"/>
                <w:sz w:val="21"/>
                <w:szCs w:val="21"/>
                <w:highlight w:val="none"/>
              </w:rPr>
              <w:t>竣工验收合格率</w:t>
            </w:r>
          </w:p>
        </w:tc>
        <w:tc>
          <w:tcPr>
            <w:tcW w:w="1165" w:type="dxa"/>
            <w:tcBorders>
              <w:top w:val="nil"/>
              <w:left w:val="single" w:color="000000" w:sz="8" w:space="0"/>
              <w:bottom w:val="single" w:color="000000" w:sz="8" w:space="0"/>
              <w:right w:val="single" w:color="000000" w:sz="8" w:space="0"/>
            </w:tcBorders>
            <w:noWrap w:val="0"/>
            <w:vAlign w:val="center"/>
          </w:tcPr>
          <w:p w14:paraId="5F36B08D">
            <w:pPr>
              <w:jc w:val="center"/>
              <w:rPr>
                <w:rFonts w:eastAsia="宋体"/>
                <w:color w:val="auto"/>
                <w:sz w:val="21"/>
                <w:szCs w:val="21"/>
                <w:highlight w:val="none"/>
              </w:rPr>
            </w:pPr>
            <w:r>
              <w:rPr>
                <w:rFonts w:hint="default" w:eastAsia="宋体"/>
                <w:color w:val="auto"/>
                <w:sz w:val="21"/>
                <w:szCs w:val="21"/>
                <w:highlight w:val="none"/>
              </w:rPr>
              <w:t>%</w:t>
            </w:r>
          </w:p>
        </w:tc>
        <w:tc>
          <w:tcPr>
            <w:tcW w:w="1544" w:type="dxa"/>
            <w:tcBorders>
              <w:top w:val="nil"/>
              <w:left w:val="single" w:color="000000" w:sz="8" w:space="0"/>
              <w:bottom w:val="single" w:color="000000" w:sz="8" w:space="0"/>
              <w:right w:val="single" w:color="000000" w:sz="8" w:space="0"/>
            </w:tcBorders>
            <w:noWrap w:val="0"/>
            <w:vAlign w:val="center"/>
          </w:tcPr>
          <w:p w14:paraId="6CF67600">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1EE7CB8B">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r>
      <w:tr w14:paraId="372F7DB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62FEB39">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5</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62182C47">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项目按期完工率</w:t>
            </w:r>
          </w:p>
        </w:tc>
        <w:tc>
          <w:tcPr>
            <w:tcW w:w="1165" w:type="dxa"/>
            <w:tcBorders>
              <w:top w:val="nil"/>
              <w:left w:val="single" w:color="000000" w:sz="8" w:space="0"/>
              <w:bottom w:val="single" w:color="000000" w:sz="8" w:space="0"/>
              <w:right w:val="single" w:color="000000" w:sz="8" w:space="0"/>
            </w:tcBorders>
            <w:noWrap w:val="0"/>
            <w:vAlign w:val="center"/>
          </w:tcPr>
          <w:p w14:paraId="234CE09B">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p>
        </w:tc>
        <w:tc>
          <w:tcPr>
            <w:tcW w:w="1544" w:type="dxa"/>
            <w:tcBorders>
              <w:top w:val="nil"/>
              <w:left w:val="single" w:color="000000" w:sz="8" w:space="0"/>
              <w:bottom w:val="single" w:color="000000" w:sz="8" w:space="0"/>
              <w:right w:val="single" w:color="000000" w:sz="8" w:space="0"/>
            </w:tcBorders>
            <w:noWrap w:val="0"/>
            <w:vAlign w:val="center"/>
          </w:tcPr>
          <w:p w14:paraId="7EE1ED00">
            <w:pPr>
              <w:jc w:val="center"/>
              <w:rPr>
                <w:rFonts w:hint="default"/>
                <w:color w:val="auto"/>
                <w:kern w:val="0"/>
                <w:szCs w:val="21"/>
                <w:highlight w:val="none"/>
                <w:lang w:val="en-US" w:eastAsia="zh-CN"/>
              </w:rPr>
            </w:pPr>
            <w:r>
              <w:rPr>
                <w:rFonts w:hint="eastAsia"/>
                <w:color w:val="auto"/>
                <w:kern w:val="0"/>
                <w:szCs w:val="21"/>
                <w:highlight w:val="none"/>
                <w:lang w:val="en-US" w:eastAsia="zh-CN"/>
              </w:rPr>
              <w:t>75</w:t>
            </w:r>
          </w:p>
        </w:tc>
        <w:tc>
          <w:tcPr>
            <w:tcW w:w="1276" w:type="dxa"/>
            <w:tcBorders>
              <w:top w:val="nil"/>
              <w:left w:val="single" w:color="000000" w:sz="8" w:space="0"/>
              <w:bottom w:val="single" w:color="000000" w:sz="8" w:space="0"/>
              <w:right w:val="single" w:color="000000" w:sz="8" w:space="0"/>
            </w:tcBorders>
            <w:noWrap w:val="0"/>
            <w:vAlign w:val="center"/>
          </w:tcPr>
          <w:p w14:paraId="4C254D97">
            <w:pPr>
              <w:jc w:val="center"/>
              <w:rPr>
                <w:rFonts w:hint="default"/>
                <w:color w:val="auto"/>
                <w:kern w:val="0"/>
                <w:szCs w:val="21"/>
                <w:highlight w:val="none"/>
                <w:lang w:val="en-US" w:eastAsia="zh-CN"/>
              </w:rPr>
            </w:pPr>
            <w:r>
              <w:rPr>
                <w:rFonts w:hint="eastAsia"/>
                <w:color w:val="auto"/>
                <w:kern w:val="0"/>
                <w:szCs w:val="21"/>
                <w:highlight w:val="none"/>
                <w:lang w:val="en-US" w:eastAsia="zh-CN"/>
              </w:rPr>
              <w:t>75</w:t>
            </w:r>
          </w:p>
        </w:tc>
      </w:tr>
      <w:tr w14:paraId="36CBC8D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4685C44">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6</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448CEC73">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粮食产业经济运行效率</w:t>
            </w:r>
            <w:r>
              <w:rPr>
                <w:rFonts w:hint="default" w:eastAsia="宋体"/>
                <w:color w:val="auto"/>
                <w:kern w:val="0"/>
                <w:sz w:val="21"/>
                <w:szCs w:val="21"/>
                <w:highlight w:val="none"/>
                <w:lang w:bidi="ar"/>
              </w:rPr>
              <w:t>情况</w:t>
            </w:r>
          </w:p>
        </w:tc>
        <w:tc>
          <w:tcPr>
            <w:tcW w:w="1165" w:type="dxa"/>
            <w:tcBorders>
              <w:top w:val="nil"/>
              <w:left w:val="single" w:color="000000" w:sz="8" w:space="0"/>
              <w:bottom w:val="single" w:color="000000" w:sz="8" w:space="0"/>
              <w:right w:val="single" w:color="000000" w:sz="8" w:space="0"/>
            </w:tcBorders>
            <w:noWrap w:val="0"/>
            <w:vAlign w:val="center"/>
          </w:tcPr>
          <w:p w14:paraId="56009872">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是否提高</w:t>
            </w:r>
          </w:p>
        </w:tc>
        <w:tc>
          <w:tcPr>
            <w:tcW w:w="1544" w:type="dxa"/>
            <w:tcBorders>
              <w:top w:val="nil"/>
              <w:left w:val="single" w:color="000000" w:sz="8" w:space="0"/>
              <w:bottom w:val="single" w:color="000000" w:sz="8" w:space="0"/>
              <w:right w:val="single" w:color="000000" w:sz="8" w:space="0"/>
            </w:tcBorders>
            <w:noWrap w:val="0"/>
            <w:vAlign w:val="center"/>
          </w:tcPr>
          <w:p w14:paraId="3A7BB69A">
            <w:pPr>
              <w:jc w:val="center"/>
              <w:rPr>
                <w:rFonts w:hint="default"/>
                <w:color w:val="auto"/>
                <w:kern w:val="0"/>
                <w:szCs w:val="21"/>
                <w:highlight w:val="none"/>
              </w:rPr>
            </w:pPr>
            <w:r>
              <w:rPr>
                <w:rFonts w:hint="default"/>
                <w:color w:val="auto"/>
                <w:kern w:val="0"/>
                <w:szCs w:val="21"/>
                <w:highlight w:val="none"/>
              </w:rPr>
              <w:t>稳步提高</w:t>
            </w:r>
          </w:p>
        </w:tc>
        <w:tc>
          <w:tcPr>
            <w:tcW w:w="1276" w:type="dxa"/>
            <w:tcBorders>
              <w:top w:val="nil"/>
              <w:left w:val="single" w:color="000000" w:sz="8" w:space="0"/>
              <w:bottom w:val="single" w:color="000000" w:sz="8" w:space="0"/>
              <w:right w:val="single" w:color="000000" w:sz="8" w:space="0"/>
            </w:tcBorders>
            <w:noWrap w:val="0"/>
            <w:vAlign w:val="center"/>
          </w:tcPr>
          <w:p w14:paraId="1D4C06BE">
            <w:pPr>
              <w:jc w:val="center"/>
              <w:rPr>
                <w:rFonts w:hint="default"/>
                <w:color w:val="auto"/>
                <w:kern w:val="0"/>
                <w:szCs w:val="21"/>
                <w:highlight w:val="none"/>
              </w:rPr>
            </w:pPr>
            <w:r>
              <w:rPr>
                <w:rFonts w:hint="default"/>
                <w:color w:val="auto"/>
                <w:kern w:val="0"/>
                <w:szCs w:val="21"/>
                <w:highlight w:val="none"/>
              </w:rPr>
              <w:t>稳步提高</w:t>
            </w:r>
          </w:p>
        </w:tc>
      </w:tr>
      <w:tr w14:paraId="31EAB46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89570C9">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7</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409A7820">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农民售粮</w:t>
            </w:r>
            <w:r>
              <w:rPr>
                <w:rFonts w:hint="default" w:eastAsia="宋体"/>
                <w:color w:val="auto"/>
                <w:kern w:val="0"/>
                <w:sz w:val="21"/>
                <w:szCs w:val="21"/>
                <w:highlight w:val="none"/>
                <w:lang w:bidi="ar"/>
              </w:rPr>
              <w:t>情况</w:t>
            </w:r>
          </w:p>
        </w:tc>
        <w:tc>
          <w:tcPr>
            <w:tcW w:w="1165" w:type="dxa"/>
            <w:tcBorders>
              <w:top w:val="nil"/>
              <w:left w:val="single" w:color="000000" w:sz="8" w:space="0"/>
              <w:bottom w:val="single" w:color="000000" w:sz="8" w:space="0"/>
              <w:right w:val="single" w:color="000000" w:sz="8" w:space="0"/>
            </w:tcBorders>
            <w:noWrap w:val="0"/>
            <w:vAlign w:val="center"/>
          </w:tcPr>
          <w:p w14:paraId="3E979454">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是否便捷</w:t>
            </w:r>
          </w:p>
        </w:tc>
        <w:tc>
          <w:tcPr>
            <w:tcW w:w="1544" w:type="dxa"/>
            <w:tcBorders>
              <w:top w:val="nil"/>
              <w:left w:val="single" w:color="000000" w:sz="8" w:space="0"/>
              <w:bottom w:val="single" w:color="000000" w:sz="8" w:space="0"/>
              <w:right w:val="single" w:color="000000" w:sz="8" w:space="0"/>
            </w:tcBorders>
            <w:shd w:val="clear" w:color="auto" w:fill="auto"/>
            <w:noWrap w:val="0"/>
            <w:vAlign w:val="center"/>
          </w:tcPr>
          <w:p w14:paraId="76D3FDCC">
            <w:pPr>
              <w:jc w:val="center"/>
              <w:rPr>
                <w:rFonts w:hint="default"/>
                <w:color w:val="auto"/>
                <w:kern w:val="0"/>
                <w:szCs w:val="21"/>
                <w:highlight w:val="none"/>
                <w:lang w:val="en-US" w:eastAsia="zh-CN"/>
              </w:rPr>
            </w:pPr>
            <w:r>
              <w:rPr>
                <w:rFonts w:hint="default"/>
                <w:color w:val="auto"/>
                <w:kern w:val="0"/>
                <w:szCs w:val="21"/>
                <w:highlight w:val="none"/>
              </w:rPr>
              <w:t>更加便捷</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6880ED28">
            <w:pPr>
              <w:jc w:val="center"/>
              <w:rPr>
                <w:rFonts w:hint="default"/>
                <w:color w:val="auto"/>
                <w:kern w:val="0"/>
                <w:szCs w:val="21"/>
                <w:highlight w:val="none"/>
                <w:lang w:val="en-US" w:eastAsia="zh-CN"/>
              </w:rPr>
            </w:pPr>
            <w:r>
              <w:rPr>
                <w:rFonts w:hint="default"/>
                <w:color w:val="auto"/>
                <w:kern w:val="0"/>
                <w:szCs w:val="21"/>
                <w:highlight w:val="none"/>
              </w:rPr>
              <w:t>更加便捷</w:t>
            </w:r>
          </w:p>
        </w:tc>
      </w:tr>
      <w:tr w14:paraId="497A27E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4B101D7">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8</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5F396F02">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粮食收储质与量</w:t>
            </w:r>
            <w:r>
              <w:rPr>
                <w:rFonts w:hint="default" w:eastAsia="宋体"/>
                <w:color w:val="auto"/>
                <w:kern w:val="0"/>
                <w:sz w:val="21"/>
                <w:szCs w:val="21"/>
                <w:highlight w:val="none"/>
                <w:lang w:bidi="ar"/>
              </w:rPr>
              <w:t>情况</w:t>
            </w:r>
          </w:p>
        </w:tc>
        <w:tc>
          <w:tcPr>
            <w:tcW w:w="1165" w:type="dxa"/>
            <w:tcBorders>
              <w:top w:val="nil"/>
              <w:left w:val="single" w:color="000000" w:sz="8" w:space="0"/>
              <w:bottom w:val="single" w:color="000000" w:sz="8" w:space="0"/>
              <w:right w:val="single" w:color="000000" w:sz="8" w:space="0"/>
            </w:tcBorders>
            <w:noWrap w:val="0"/>
            <w:vAlign w:val="center"/>
          </w:tcPr>
          <w:p w14:paraId="4991A95B">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是否提升</w:t>
            </w:r>
          </w:p>
        </w:tc>
        <w:tc>
          <w:tcPr>
            <w:tcW w:w="1544" w:type="dxa"/>
            <w:tcBorders>
              <w:top w:val="nil"/>
              <w:left w:val="single" w:color="000000" w:sz="8" w:space="0"/>
              <w:bottom w:val="single" w:color="000000" w:sz="8" w:space="0"/>
              <w:right w:val="single" w:color="000000" w:sz="8" w:space="0"/>
            </w:tcBorders>
            <w:shd w:val="clear" w:color="auto" w:fill="auto"/>
            <w:noWrap w:val="0"/>
            <w:vAlign w:val="center"/>
          </w:tcPr>
          <w:p w14:paraId="5AE32D03">
            <w:pPr>
              <w:jc w:val="center"/>
              <w:rPr>
                <w:rFonts w:hint="default"/>
                <w:color w:val="auto"/>
                <w:kern w:val="0"/>
                <w:szCs w:val="21"/>
                <w:highlight w:val="none"/>
                <w:lang w:val="en-US" w:eastAsia="zh-CN"/>
              </w:rPr>
            </w:pPr>
            <w:r>
              <w:rPr>
                <w:rFonts w:hint="default"/>
                <w:color w:val="auto"/>
                <w:kern w:val="0"/>
                <w:szCs w:val="21"/>
                <w:highlight w:val="none"/>
              </w:rPr>
              <w:t>显著提升</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3AED156E">
            <w:pPr>
              <w:jc w:val="center"/>
              <w:rPr>
                <w:rFonts w:hint="default"/>
                <w:color w:val="auto"/>
                <w:kern w:val="0"/>
                <w:szCs w:val="21"/>
                <w:highlight w:val="none"/>
                <w:lang w:val="en-US" w:eastAsia="zh-CN"/>
              </w:rPr>
            </w:pPr>
            <w:r>
              <w:rPr>
                <w:rFonts w:hint="default"/>
                <w:color w:val="auto"/>
                <w:kern w:val="0"/>
                <w:szCs w:val="21"/>
                <w:highlight w:val="none"/>
              </w:rPr>
              <w:t>显著提升</w:t>
            </w:r>
          </w:p>
        </w:tc>
      </w:tr>
      <w:tr w14:paraId="59BA87E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0F3D325">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9</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57F386BE">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为农民售粮提供优质服务</w:t>
            </w:r>
            <w:r>
              <w:rPr>
                <w:rFonts w:hint="default" w:eastAsia="宋体"/>
                <w:color w:val="auto"/>
                <w:kern w:val="0"/>
                <w:sz w:val="21"/>
                <w:szCs w:val="21"/>
                <w:highlight w:val="none"/>
                <w:lang w:bidi="ar"/>
              </w:rPr>
              <w:t>情况</w:t>
            </w:r>
          </w:p>
        </w:tc>
        <w:tc>
          <w:tcPr>
            <w:tcW w:w="1165" w:type="dxa"/>
            <w:tcBorders>
              <w:top w:val="nil"/>
              <w:left w:val="single" w:color="000000" w:sz="8" w:space="0"/>
              <w:bottom w:val="single" w:color="000000" w:sz="8" w:space="0"/>
              <w:right w:val="single" w:color="000000" w:sz="8" w:space="0"/>
            </w:tcBorders>
            <w:noWrap w:val="0"/>
            <w:vAlign w:val="center"/>
          </w:tcPr>
          <w:p w14:paraId="7274EE15">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是否增强</w:t>
            </w:r>
          </w:p>
        </w:tc>
        <w:tc>
          <w:tcPr>
            <w:tcW w:w="1544" w:type="dxa"/>
            <w:tcBorders>
              <w:top w:val="nil"/>
              <w:left w:val="single" w:color="000000" w:sz="8" w:space="0"/>
              <w:bottom w:val="single" w:color="000000" w:sz="8" w:space="0"/>
              <w:right w:val="single" w:color="000000" w:sz="8" w:space="0"/>
            </w:tcBorders>
            <w:shd w:val="clear" w:color="auto" w:fill="auto"/>
            <w:noWrap w:val="0"/>
            <w:vAlign w:val="center"/>
          </w:tcPr>
          <w:p w14:paraId="383DC470">
            <w:pPr>
              <w:jc w:val="center"/>
              <w:rPr>
                <w:rFonts w:hint="default"/>
                <w:color w:val="auto"/>
                <w:kern w:val="0"/>
                <w:szCs w:val="21"/>
                <w:highlight w:val="none"/>
                <w:lang w:val="en-US" w:eastAsia="zh-CN"/>
              </w:rPr>
            </w:pPr>
            <w:r>
              <w:rPr>
                <w:rFonts w:hint="default"/>
                <w:color w:val="auto"/>
                <w:kern w:val="0"/>
                <w:szCs w:val="21"/>
                <w:highlight w:val="none"/>
              </w:rPr>
              <w:t>明显增强</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2EFDA621">
            <w:pPr>
              <w:jc w:val="center"/>
              <w:rPr>
                <w:rFonts w:hint="default"/>
                <w:color w:val="auto"/>
                <w:kern w:val="0"/>
                <w:szCs w:val="21"/>
                <w:highlight w:val="none"/>
                <w:lang w:val="en-US" w:eastAsia="zh-CN"/>
              </w:rPr>
            </w:pPr>
            <w:r>
              <w:rPr>
                <w:rFonts w:hint="default"/>
                <w:color w:val="auto"/>
                <w:kern w:val="0"/>
                <w:szCs w:val="21"/>
                <w:highlight w:val="none"/>
              </w:rPr>
              <w:t>明显增强</w:t>
            </w:r>
          </w:p>
        </w:tc>
      </w:tr>
      <w:tr w14:paraId="09225EA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7A10DDF0">
            <w:pPr>
              <w:widowControl/>
              <w:jc w:val="center"/>
              <w:textAlignment w:val="center"/>
              <w:rPr>
                <w:rFonts w:eastAsia="宋体"/>
                <w:b/>
                <w:bCs/>
                <w:color w:val="auto"/>
                <w:kern w:val="0"/>
                <w:sz w:val="21"/>
                <w:szCs w:val="21"/>
                <w:highlight w:val="none"/>
                <w:lang w:bidi="ar"/>
              </w:rPr>
            </w:pPr>
            <w:r>
              <w:rPr>
                <w:rFonts w:hint="default" w:eastAsia="宋体"/>
                <w:b/>
                <w:bCs/>
                <w:color w:val="auto"/>
                <w:kern w:val="0"/>
                <w:sz w:val="21"/>
                <w:szCs w:val="21"/>
                <w:highlight w:val="none"/>
                <w:lang w:bidi="ar"/>
              </w:rPr>
              <w:t>9</w:t>
            </w:r>
          </w:p>
        </w:tc>
        <w:tc>
          <w:tcPr>
            <w:tcW w:w="4426" w:type="dxa"/>
            <w:tcBorders>
              <w:top w:val="nil"/>
              <w:left w:val="single" w:color="000000" w:sz="8" w:space="0"/>
              <w:bottom w:val="single" w:color="000000" w:sz="8" w:space="0"/>
              <w:right w:val="single" w:color="000000" w:sz="8" w:space="0"/>
            </w:tcBorders>
            <w:noWrap w:val="0"/>
            <w:vAlign w:val="center"/>
          </w:tcPr>
          <w:p w14:paraId="4BDDA500">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高校师生创业就业创新及北斗规模应用项目</w:t>
            </w:r>
          </w:p>
        </w:tc>
        <w:tc>
          <w:tcPr>
            <w:tcW w:w="1165" w:type="dxa"/>
            <w:tcBorders>
              <w:top w:val="nil"/>
              <w:left w:val="single" w:color="000000" w:sz="8" w:space="0"/>
              <w:bottom w:val="single" w:color="000000" w:sz="8" w:space="0"/>
              <w:right w:val="single" w:color="000000" w:sz="8" w:space="0"/>
            </w:tcBorders>
            <w:noWrap w:val="0"/>
            <w:vAlign w:val="center"/>
          </w:tcPr>
          <w:p w14:paraId="09EDF74C">
            <w:pPr>
              <w:widowControl/>
              <w:jc w:val="center"/>
              <w:textAlignment w:val="center"/>
              <w:rPr>
                <w:rFonts w:hint="default" w:eastAsia="宋体"/>
                <w:color w:val="auto"/>
                <w:kern w:val="0"/>
                <w:sz w:val="21"/>
                <w:szCs w:val="21"/>
                <w:highlight w:val="none"/>
                <w:lang w:bidi="ar"/>
              </w:rPr>
            </w:pPr>
          </w:p>
        </w:tc>
        <w:tc>
          <w:tcPr>
            <w:tcW w:w="1544" w:type="dxa"/>
            <w:tcBorders>
              <w:top w:val="nil"/>
              <w:left w:val="single" w:color="000000" w:sz="8" w:space="0"/>
              <w:bottom w:val="single" w:color="000000" w:sz="8" w:space="0"/>
              <w:right w:val="single" w:color="000000" w:sz="8" w:space="0"/>
            </w:tcBorders>
            <w:noWrap w:val="0"/>
            <w:vAlign w:val="center"/>
          </w:tcPr>
          <w:p w14:paraId="255FFEDD">
            <w:pPr>
              <w:jc w:val="center"/>
              <w:rPr>
                <w:rFonts w:hint="default"/>
                <w:color w:val="auto"/>
                <w:kern w:val="0"/>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380FDE24">
            <w:pPr>
              <w:jc w:val="center"/>
              <w:rPr>
                <w:rFonts w:hint="default"/>
                <w:color w:val="auto"/>
                <w:kern w:val="0"/>
                <w:szCs w:val="21"/>
                <w:highlight w:val="none"/>
              </w:rPr>
            </w:pPr>
          </w:p>
        </w:tc>
      </w:tr>
      <w:tr w14:paraId="41D1EC34">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5C3603E">
            <w:pPr>
              <w:widowControl/>
              <w:jc w:val="center"/>
              <w:textAlignment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61853353">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支持项目建设过程中重大环境污染事项发生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4B485B70">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single" w:color="000000" w:sz="8" w:space="0"/>
              <w:bottom w:val="single" w:color="000000" w:sz="8" w:space="0"/>
              <w:right w:val="single" w:color="000000" w:sz="8" w:space="0"/>
            </w:tcBorders>
            <w:noWrap w:val="0"/>
            <w:vAlign w:val="center"/>
          </w:tcPr>
          <w:p w14:paraId="3991888A">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6BF97CB1">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410B0B7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758174D0">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1C4F4DE4">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年内项目开工率</w:t>
            </w:r>
          </w:p>
        </w:tc>
        <w:tc>
          <w:tcPr>
            <w:tcW w:w="1165" w:type="dxa"/>
            <w:tcBorders>
              <w:top w:val="nil"/>
              <w:left w:val="single" w:color="000000" w:sz="8" w:space="0"/>
              <w:bottom w:val="single" w:color="000000" w:sz="8" w:space="0"/>
              <w:right w:val="single" w:color="000000" w:sz="8" w:space="0"/>
            </w:tcBorders>
            <w:noWrap w:val="0"/>
            <w:vAlign w:val="center"/>
          </w:tcPr>
          <w:p w14:paraId="38AB7CE2">
            <w:pPr>
              <w:widowControl/>
              <w:jc w:val="center"/>
              <w:textAlignment w:val="center"/>
              <w:rPr>
                <w:rFonts w:hint="eastAsia" w:eastAsia="宋体"/>
                <w:color w:val="auto"/>
                <w:kern w:val="0"/>
                <w:sz w:val="21"/>
                <w:szCs w:val="21"/>
                <w:highlight w:val="none"/>
                <w:lang w:eastAsia="zh-CN" w:bidi="ar"/>
              </w:rPr>
            </w:pPr>
            <w:r>
              <w:rPr>
                <w:rFonts w:hint="eastAsia"/>
                <w:color w:val="auto"/>
                <w:kern w:val="0"/>
                <w:sz w:val="21"/>
                <w:szCs w:val="21"/>
                <w:highlight w:val="none"/>
                <w:lang w:val="en-US" w:eastAsia="zh-CN" w:bidi="ar"/>
              </w:rPr>
              <w:t>%</w:t>
            </w:r>
          </w:p>
        </w:tc>
        <w:tc>
          <w:tcPr>
            <w:tcW w:w="1544" w:type="dxa"/>
            <w:tcBorders>
              <w:top w:val="nil"/>
              <w:left w:val="single" w:color="000000" w:sz="8" w:space="0"/>
              <w:bottom w:val="single" w:color="000000" w:sz="8" w:space="0"/>
              <w:right w:val="single" w:color="000000" w:sz="8" w:space="0"/>
            </w:tcBorders>
            <w:noWrap w:val="0"/>
            <w:vAlign w:val="center"/>
          </w:tcPr>
          <w:p w14:paraId="5110744B">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61C19AFC">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r>
      <w:tr w14:paraId="30C388D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D8E739D">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3</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5AD96BE0">
            <w:pPr>
              <w:widowControl/>
              <w:jc w:val="center"/>
              <w:textAlignment w:val="center"/>
              <w:rPr>
                <w:rFonts w:eastAsia="宋体"/>
                <w:color w:val="auto"/>
                <w:kern w:val="0"/>
                <w:sz w:val="21"/>
                <w:szCs w:val="21"/>
                <w:highlight w:val="none"/>
                <w:lang w:bidi="ar"/>
              </w:rPr>
            </w:pPr>
            <w:r>
              <w:rPr>
                <w:rFonts w:hint="default"/>
                <w:color w:val="auto"/>
                <w:kern w:val="0"/>
                <w:szCs w:val="21"/>
                <w:highlight w:val="none"/>
              </w:rPr>
              <w:t>年度投资计划平均完成</w:t>
            </w:r>
            <w:r>
              <w:rPr>
                <w:color w:val="auto"/>
                <w:kern w:val="0"/>
                <w:szCs w:val="21"/>
                <w:highlight w:val="none"/>
              </w:rPr>
              <w:t>率</w:t>
            </w:r>
          </w:p>
        </w:tc>
        <w:tc>
          <w:tcPr>
            <w:tcW w:w="1165" w:type="dxa"/>
            <w:tcBorders>
              <w:top w:val="nil"/>
              <w:left w:val="single" w:color="000000" w:sz="8" w:space="0"/>
              <w:bottom w:val="single" w:color="000000" w:sz="8" w:space="0"/>
              <w:right w:val="single" w:color="000000" w:sz="8" w:space="0"/>
            </w:tcBorders>
            <w:noWrap w:val="0"/>
            <w:vAlign w:val="center"/>
          </w:tcPr>
          <w:p w14:paraId="7DD4CCE4">
            <w:pPr>
              <w:widowControl/>
              <w:jc w:val="center"/>
              <w:textAlignment w:val="center"/>
              <w:rPr>
                <w:rFonts w:hint="eastAsia" w:eastAsia="宋体"/>
                <w:color w:val="auto"/>
                <w:kern w:val="0"/>
                <w:sz w:val="21"/>
                <w:szCs w:val="21"/>
                <w:highlight w:val="none"/>
                <w:lang w:eastAsia="zh-CN" w:bidi="ar"/>
              </w:rPr>
            </w:pPr>
            <w:r>
              <w:rPr>
                <w:rFonts w:hint="eastAsia"/>
                <w:color w:val="auto"/>
                <w:kern w:val="0"/>
                <w:sz w:val="21"/>
                <w:szCs w:val="21"/>
                <w:highlight w:val="none"/>
                <w:lang w:val="en-US" w:eastAsia="zh-CN" w:bidi="ar"/>
              </w:rPr>
              <w:t>%</w:t>
            </w:r>
          </w:p>
        </w:tc>
        <w:tc>
          <w:tcPr>
            <w:tcW w:w="1544" w:type="dxa"/>
            <w:tcBorders>
              <w:top w:val="nil"/>
              <w:left w:val="single" w:color="000000" w:sz="8" w:space="0"/>
              <w:bottom w:val="single" w:color="000000" w:sz="8" w:space="0"/>
              <w:right w:val="single" w:color="000000" w:sz="8" w:space="0"/>
            </w:tcBorders>
            <w:noWrap w:val="0"/>
            <w:vAlign w:val="center"/>
          </w:tcPr>
          <w:p w14:paraId="385A0637">
            <w:pPr>
              <w:jc w:val="center"/>
              <w:rPr>
                <w:rFonts w:hint="default"/>
                <w:color w:val="auto"/>
                <w:kern w:val="0"/>
                <w:szCs w:val="21"/>
                <w:highlight w:val="none"/>
                <w:lang w:val="en-US" w:eastAsia="zh-CN"/>
              </w:rPr>
            </w:pPr>
            <w:r>
              <w:rPr>
                <w:rFonts w:hint="eastAsia"/>
                <w:color w:val="auto"/>
                <w:kern w:val="0"/>
                <w:szCs w:val="21"/>
                <w:highlight w:val="none"/>
                <w:lang w:val="en-US" w:eastAsia="zh-CN"/>
              </w:rPr>
              <w:t>20</w:t>
            </w:r>
          </w:p>
        </w:tc>
        <w:tc>
          <w:tcPr>
            <w:tcW w:w="1276" w:type="dxa"/>
            <w:tcBorders>
              <w:top w:val="nil"/>
              <w:left w:val="single" w:color="000000" w:sz="8" w:space="0"/>
              <w:bottom w:val="single" w:color="000000" w:sz="8" w:space="0"/>
              <w:right w:val="single" w:color="000000" w:sz="8" w:space="0"/>
            </w:tcBorders>
            <w:noWrap w:val="0"/>
            <w:vAlign w:val="center"/>
          </w:tcPr>
          <w:p w14:paraId="47933602">
            <w:pPr>
              <w:jc w:val="center"/>
              <w:rPr>
                <w:rFonts w:hint="default"/>
                <w:color w:val="auto"/>
                <w:kern w:val="0"/>
                <w:szCs w:val="21"/>
                <w:highlight w:val="none"/>
                <w:lang w:val="en-US" w:eastAsia="zh-CN"/>
              </w:rPr>
            </w:pPr>
            <w:r>
              <w:rPr>
                <w:rFonts w:hint="eastAsia"/>
                <w:color w:val="auto"/>
                <w:kern w:val="0"/>
                <w:szCs w:val="21"/>
                <w:highlight w:val="none"/>
                <w:lang w:val="en-US" w:eastAsia="zh-CN"/>
              </w:rPr>
              <w:t>29</w:t>
            </w:r>
          </w:p>
        </w:tc>
      </w:tr>
      <w:tr w14:paraId="287E1C7F">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5586022">
            <w:pPr>
              <w:jc w:val="center"/>
              <w:rPr>
                <w:rFonts w:eastAsia="宋体"/>
                <w:color w:val="auto"/>
                <w:sz w:val="21"/>
                <w:szCs w:val="21"/>
                <w:highlight w:val="none"/>
              </w:rPr>
            </w:pPr>
            <w:r>
              <w:rPr>
                <w:rFonts w:hint="default" w:eastAsia="宋体"/>
                <w:color w:val="auto"/>
                <w:kern w:val="0"/>
                <w:sz w:val="21"/>
                <w:szCs w:val="21"/>
                <w:highlight w:val="none"/>
                <w:lang w:bidi="ar"/>
              </w:rPr>
              <w:t>(</w:t>
            </w:r>
            <w:r>
              <w:rPr>
                <w:rFonts w:hint="eastAsia"/>
                <w:color w:val="auto"/>
                <w:kern w:val="0"/>
                <w:sz w:val="21"/>
                <w:szCs w:val="21"/>
                <w:highlight w:val="none"/>
                <w:lang w:val="en-US" w:eastAsia="zh-CN" w:bidi="ar"/>
              </w:rPr>
              <w:t>4</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2909FB74">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拉动社会投资</w:t>
            </w:r>
            <w:r>
              <w:rPr>
                <w:rFonts w:hint="default" w:eastAsia="宋体"/>
                <w:color w:val="auto"/>
                <w:kern w:val="0"/>
                <w:sz w:val="21"/>
                <w:szCs w:val="21"/>
                <w:highlight w:val="none"/>
                <w:lang w:bidi="ar"/>
              </w:rPr>
              <w:t>金额</w:t>
            </w:r>
          </w:p>
        </w:tc>
        <w:tc>
          <w:tcPr>
            <w:tcW w:w="1165" w:type="dxa"/>
            <w:tcBorders>
              <w:top w:val="nil"/>
              <w:left w:val="single" w:color="000000" w:sz="8" w:space="0"/>
              <w:bottom w:val="single" w:color="000000" w:sz="8" w:space="0"/>
              <w:right w:val="single" w:color="000000" w:sz="8" w:space="0"/>
            </w:tcBorders>
            <w:noWrap w:val="0"/>
            <w:vAlign w:val="center"/>
          </w:tcPr>
          <w:p w14:paraId="5E052B61">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万元</w:t>
            </w:r>
          </w:p>
        </w:tc>
        <w:tc>
          <w:tcPr>
            <w:tcW w:w="1544" w:type="dxa"/>
            <w:tcBorders>
              <w:top w:val="nil"/>
              <w:left w:val="single" w:color="000000" w:sz="8" w:space="0"/>
              <w:bottom w:val="single" w:color="000000" w:sz="8" w:space="0"/>
              <w:right w:val="single" w:color="000000" w:sz="8" w:space="0"/>
            </w:tcBorders>
            <w:noWrap w:val="0"/>
            <w:vAlign w:val="center"/>
          </w:tcPr>
          <w:p w14:paraId="1846E0DF">
            <w:pPr>
              <w:jc w:val="center"/>
              <w:rPr>
                <w:rFonts w:hint="default"/>
                <w:color w:val="auto"/>
                <w:kern w:val="0"/>
                <w:szCs w:val="21"/>
                <w:highlight w:val="none"/>
                <w:lang w:val="en-US" w:eastAsia="zh-CN"/>
              </w:rPr>
            </w:pPr>
            <w:r>
              <w:rPr>
                <w:rFonts w:hint="default"/>
                <w:color w:val="auto"/>
                <w:kern w:val="0"/>
                <w:szCs w:val="21"/>
                <w:highlight w:val="none"/>
              </w:rPr>
              <w:t>≥1</w:t>
            </w:r>
            <w:r>
              <w:rPr>
                <w:rFonts w:hint="eastAsia"/>
                <w:color w:val="auto"/>
                <w:kern w:val="0"/>
                <w:szCs w:val="21"/>
                <w:highlight w:val="none"/>
                <w:lang w:val="en-US" w:eastAsia="zh-CN"/>
              </w:rPr>
              <w:t>0000</w:t>
            </w:r>
          </w:p>
        </w:tc>
        <w:tc>
          <w:tcPr>
            <w:tcW w:w="1276" w:type="dxa"/>
            <w:tcBorders>
              <w:top w:val="nil"/>
              <w:left w:val="single" w:color="000000" w:sz="8" w:space="0"/>
              <w:bottom w:val="single" w:color="000000" w:sz="8" w:space="0"/>
              <w:right w:val="single" w:color="000000" w:sz="8" w:space="0"/>
            </w:tcBorders>
            <w:noWrap w:val="0"/>
            <w:vAlign w:val="center"/>
          </w:tcPr>
          <w:p w14:paraId="6E1C6725">
            <w:pPr>
              <w:jc w:val="center"/>
              <w:rPr>
                <w:rFonts w:hint="eastAsia"/>
                <w:color w:val="auto"/>
                <w:kern w:val="0"/>
                <w:szCs w:val="21"/>
                <w:highlight w:val="none"/>
                <w:lang w:val="en-US" w:eastAsia="zh-CN"/>
              </w:rPr>
            </w:pPr>
            <w:r>
              <w:rPr>
                <w:rFonts w:hint="default"/>
                <w:color w:val="auto"/>
                <w:kern w:val="0"/>
                <w:szCs w:val="21"/>
                <w:highlight w:val="none"/>
              </w:rPr>
              <w:t>13803.5</w:t>
            </w:r>
          </w:p>
        </w:tc>
      </w:tr>
      <w:tr w14:paraId="6DB1189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5E21D46">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hint="eastAsia"/>
                <w:color w:val="auto"/>
                <w:kern w:val="0"/>
                <w:sz w:val="21"/>
                <w:szCs w:val="21"/>
                <w:highlight w:val="none"/>
                <w:lang w:val="en-US" w:eastAsia="zh-CN" w:bidi="ar"/>
              </w:rPr>
              <w:t>5</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196F31A4">
            <w:pPr>
              <w:widowControl/>
              <w:jc w:val="center"/>
              <w:textAlignment w:val="center"/>
              <w:rPr>
                <w:rFonts w:hint="default" w:eastAsia="宋体"/>
                <w:color w:val="auto"/>
                <w:kern w:val="0"/>
                <w:sz w:val="21"/>
                <w:szCs w:val="21"/>
                <w:highlight w:val="none"/>
                <w:lang w:bidi="ar"/>
              </w:rPr>
            </w:pPr>
            <w:r>
              <w:rPr>
                <w:rFonts w:hint="eastAsia" w:eastAsia="宋体"/>
                <w:color w:val="auto"/>
                <w:kern w:val="0"/>
                <w:sz w:val="21"/>
                <w:szCs w:val="21"/>
                <w:highlight w:val="none"/>
                <w:lang w:bidi="ar"/>
              </w:rPr>
              <w:t>2024年全省北斗产业规模增长</w:t>
            </w:r>
          </w:p>
        </w:tc>
        <w:tc>
          <w:tcPr>
            <w:tcW w:w="1165" w:type="dxa"/>
            <w:tcBorders>
              <w:top w:val="nil"/>
              <w:left w:val="single" w:color="000000" w:sz="8" w:space="0"/>
              <w:bottom w:val="single" w:color="000000" w:sz="8" w:space="0"/>
              <w:right w:val="single" w:color="000000" w:sz="8" w:space="0"/>
            </w:tcBorders>
            <w:noWrap w:val="0"/>
            <w:vAlign w:val="center"/>
          </w:tcPr>
          <w:p w14:paraId="4F014539">
            <w:pPr>
              <w:widowControl/>
              <w:jc w:val="center"/>
              <w:textAlignment w:val="center"/>
              <w:rPr>
                <w:rFonts w:hint="default" w:eastAsia="宋体"/>
                <w:color w:val="auto"/>
                <w:kern w:val="0"/>
                <w:sz w:val="21"/>
                <w:szCs w:val="21"/>
                <w:highlight w:val="none"/>
                <w:lang w:bidi="ar"/>
              </w:rPr>
            </w:pPr>
            <w:r>
              <w:rPr>
                <w:rFonts w:hint="eastAsia"/>
                <w:color w:val="auto"/>
                <w:kern w:val="0"/>
                <w:sz w:val="21"/>
                <w:szCs w:val="21"/>
                <w:highlight w:val="none"/>
                <w:lang w:val="en-US" w:eastAsia="zh-CN" w:bidi="ar"/>
              </w:rPr>
              <w:t>%</w:t>
            </w:r>
          </w:p>
        </w:tc>
        <w:tc>
          <w:tcPr>
            <w:tcW w:w="1544" w:type="dxa"/>
            <w:tcBorders>
              <w:top w:val="nil"/>
              <w:left w:val="single" w:color="000000" w:sz="8" w:space="0"/>
              <w:bottom w:val="single" w:color="000000" w:sz="8" w:space="0"/>
              <w:right w:val="single" w:color="000000" w:sz="8" w:space="0"/>
            </w:tcBorders>
            <w:noWrap w:val="0"/>
            <w:vAlign w:val="center"/>
          </w:tcPr>
          <w:p w14:paraId="48066C14">
            <w:pPr>
              <w:jc w:val="center"/>
              <w:rPr>
                <w:rFonts w:hint="default"/>
                <w:color w:val="auto"/>
                <w:kern w:val="0"/>
                <w:szCs w:val="21"/>
                <w:highlight w:val="none"/>
                <w:lang w:val="en-US" w:eastAsia="zh-CN"/>
              </w:rPr>
            </w:pPr>
            <w:r>
              <w:rPr>
                <w:rFonts w:hint="default"/>
                <w:color w:val="auto"/>
                <w:kern w:val="0"/>
                <w:szCs w:val="21"/>
                <w:highlight w:val="none"/>
              </w:rPr>
              <w:t>≥5</w:t>
            </w:r>
          </w:p>
        </w:tc>
        <w:tc>
          <w:tcPr>
            <w:tcW w:w="1276" w:type="dxa"/>
            <w:tcBorders>
              <w:top w:val="nil"/>
              <w:left w:val="single" w:color="000000" w:sz="8" w:space="0"/>
              <w:bottom w:val="single" w:color="000000" w:sz="8" w:space="0"/>
              <w:right w:val="single" w:color="000000" w:sz="8" w:space="0"/>
            </w:tcBorders>
            <w:noWrap w:val="0"/>
            <w:vAlign w:val="center"/>
          </w:tcPr>
          <w:p w14:paraId="69DC75A5">
            <w:pPr>
              <w:jc w:val="center"/>
              <w:rPr>
                <w:rFonts w:hint="default"/>
                <w:color w:val="auto"/>
                <w:kern w:val="0"/>
                <w:szCs w:val="21"/>
                <w:highlight w:val="none"/>
              </w:rPr>
            </w:pPr>
            <w:r>
              <w:rPr>
                <w:rFonts w:hint="eastAsia"/>
                <w:color w:val="auto"/>
                <w:kern w:val="0"/>
                <w:szCs w:val="21"/>
                <w:highlight w:val="none"/>
                <w:lang w:val="en-US" w:eastAsia="zh-CN"/>
              </w:rPr>
              <w:t>35.5</w:t>
            </w:r>
          </w:p>
        </w:tc>
      </w:tr>
      <w:tr w14:paraId="43D519A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FF5A757">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hint="eastAsia"/>
                <w:color w:val="auto"/>
                <w:kern w:val="0"/>
                <w:sz w:val="21"/>
                <w:szCs w:val="21"/>
                <w:highlight w:val="none"/>
                <w:lang w:val="en-US" w:eastAsia="zh-CN" w:bidi="ar"/>
              </w:rPr>
              <w:t>6</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57EF6859">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建设服务高校师生等群体创业就业创新平台</w:t>
            </w:r>
            <w:r>
              <w:rPr>
                <w:rFonts w:hint="default" w:eastAsia="宋体"/>
                <w:color w:val="auto"/>
                <w:kern w:val="0"/>
                <w:sz w:val="21"/>
                <w:szCs w:val="21"/>
                <w:highlight w:val="none"/>
                <w:lang w:bidi="ar"/>
              </w:rPr>
              <w:t>数量</w:t>
            </w:r>
          </w:p>
        </w:tc>
        <w:tc>
          <w:tcPr>
            <w:tcW w:w="1165" w:type="dxa"/>
            <w:tcBorders>
              <w:top w:val="nil"/>
              <w:left w:val="single" w:color="000000" w:sz="8" w:space="0"/>
              <w:bottom w:val="single" w:color="000000" w:sz="8" w:space="0"/>
              <w:right w:val="single" w:color="000000" w:sz="8" w:space="0"/>
            </w:tcBorders>
            <w:noWrap w:val="0"/>
            <w:vAlign w:val="center"/>
          </w:tcPr>
          <w:p w14:paraId="3261607B">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个</w:t>
            </w:r>
          </w:p>
        </w:tc>
        <w:tc>
          <w:tcPr>
            <w:tcW w:w="1544" w:type="dxa"/>
            <w:tcBorders>
              <w:top w:val="nil"/>
              <w:left w:val="single" w:color="000000" w:sz="8" w:space="0"/>
              <w:bottom w:val="single" w:color="000000" w:sz="8" w:space="0"/>
              <w:right w:val="single" w:color="000000" w:sz="8" w:space="0"/>
            </w:tcBorders>
            <w:noWrap w:val="0"/>
            <w:vAlign w:val="center"/>
          </w:tcPr>
          <w:p w14:paraId="60B86BF1">
            <w:pPr>
              <w:jc w:val="center"/>
              <w:rPr>
                <w:rFonts w:hint="eastAsia"/>
                <w:color w:val="auto"/>
                <w:kern w:val="0"/>
                <w:szCs w:val="21"/>
                <w:highlight w:val="none"/>
                <w:lang w:val="en-US" w:eastAsia="zh-CN"/>
              </w:rPr>
            </w:pPr>
            <w:r>
              <w:rPr>
                <w:rFonts w:hint="eastAsia"/>
                <w:color w:val="auto"/>
                <w:kern w:val="0"/>
                <w:szCs w:val="21"/>
                <w:highlight w:val="none"/>
                <w:lang w:val="en-US" w:eastAsia="zh-CN"/>
              </w:rPr>
              <w:t>5</w:t>
            </w:r>
          </w:p>
        </w:tc>
        <w:tc>
          <w:tcPr>
            <w:tcW w:w="1276" w:type="dxa"/>
            <w:tcBorders>
              <w:top w:val="nil"/>
              <w:left w:val="single" w:color="000000" w:sz="8" w:space="0"/>
              <w:bottom w:val="single" w:color="000000" w:sz="8" w:space="0"/>
              <w:right w:val="single" w:color="000000" w:sz="8" w:space="0"/>
            </w:tcBorders>
            <w:noWrap w:val="0"/>
            <w:vAlign w:val="center"/>
          </w:tcPr>
          <w:p w14:paraId="03002E87">
            <w:pPr>
              <w:jc w:val="center"/>
              <w:rPr>
                <w:rFonts w:hint="eastAsia"/>
                <w:color w:val="auto"/>
                <w:kern w:val="0"/>
                <w:szCs w:val="21"/>
                <w:highlight w:val="none"/>
                <w:lang w:val="en-US" w:eastAsia="zh-CN"/>
              </w:rPr>
            </w:pPr>
            <w:r>
              <w:rPr>
                <w:rFonts w:hint="eastAsia"/>
                <w:color w:val="auto"/>
                <w:kern w:val="0"/>
                <w:szCs w:val="21"/>
                <w:highlight w:val="none"/>
                <w:lang w:val="en-US" w:eastAsia="zh-CN"/>
              </w:rPr>
              <w:t>5</w:t>
            </w:r>
          </w:p>
        </w:tc>
      </w:tr>
      <w:tr w14:paraId="141CA135">
        <w:tblPrEx>
          <w:tblCellMar>
            <w:top w:w="0" w:type="dxa"/>
            <w:left w:w="108" w:type="dxa"/>
            <w:bottom w:w="0" w:type="dxa"/>
            <w:right w:w="108" w:type="dxa"/>
          </w:tblCellMar>
        </w:tblPrEx>
        <w:trPr>
          <w:trHeight w:val="314"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DE35B20">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w:t>
            </w:r>
            <w:r>
              <w:rPr>
                <w:rFonts w:hint="eastAsia"/>
                <w:color w:val="auto"/>
                <w:kern w:val="0"/>
                <w:sz w:val="21"/>
                <w:szCs w:val="21"/>
                <w:highlight w:val="none"/>
                <w:lang w:val="en-US" w:eastAsia="zh-CN" w:bidi="ar"/>
              </w:rPr>
              <w:t>7</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5B53D52A">
            <w:pPr>
              <w:widowControl/>
              <w:jc w:val="center"/>
              <w:textAlignment w:val="center"/>
              <w:rPr>
                <w:rFonts w:eastAsia="宋体"/>
                <w:color w:val="auto"/>
                <w:kern w:val="0"/>
                <w:sz w:val="21"/>
                <w:szCs w:val="21"/>
                <w:highlight w:val="none"/>
                <w:lang w:bidi="ar"/>
              </w:rPr>
            </w:pPr>
            <w:r>
              <w:rPr>
                <w:rFonts w:hint="eastAsia" w:eastAsia="宋体"/>
                <w:color w:val="auto"/>
                <w:kern w:val="0"/>
                <w:sz w:val="21"/>
                <w:szCs w:val="21"/>
                <w:highlight w:val="none"/>
                <w:lang w:bidi="ar"/>
              </w:rPr>
              <w:t>支持开展创业就业创新项目</w:t>
            </w:r>
          </w:p>
        </w:tc>
        <w:tc>
          <w:tcPr>
            <w:tcW w:w="1165" w:type="dxa"/>
            <w:tcBorders>
              <w:top w:val="nil"/>
              <w:left w:val="single" w:color="000000" w:sz="8" w:space="0"/>
              <w:bottom w:val="single" w:color="000000" w:sz="8" w:space="0"/>
              <w:right w:val="single" w:color="000000" w:sz="8" w:space="0"/>
            </w:tcBorders>
            <w:noWrap w:val="0"/>
            <w:vAlign w:val="center"/>
          </w:tcPr>
          <w:p w14:paraId="68F310DB">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个</w:t>
            </w:r>
          </w:p>
        </w:tc>
        <w:tc>
          <w:tcPr>
            <w:tcW w:w="1544" w:type="dxa"/>
            <w:tcBorders>
              <w:top w:val="nil"/>
              <w:left w:val="single" w:color="000000" w:sz="8" w:space="0"/>
              <w:bottom w:val="single" w:color="000000" w:sz="8" w:space="0"/>
              <w:right w:val="single" w:color="000000" w:sz="8" w:space="0"/>
            </w:tcBorders>
            <w:noWrap w:val="0"/>
            <w:vAlign w:val="center"/>
          </w:tcPr>
          <w:p w14:paraId="7AC7064B">
            <w:pPr>
              <w:jc w:val="center"/>
              <w:rPr>
                <w:rFonts w:hint="default"/>
                <w:color w:val="auto"/>
                <w:kern w:val="0"/>
                <w:szCs w:val="21"/>
                <w:highlight w:val="none"/>
              </w:rPr>
            </w:pPr>
            <w:r>
              <w:rPr>
                <w:rFonts w:hint="default"/>
                <w:color w:val="auto"/>
                <w:kern w:val="0"/>
                <w:szCs w:val="21"/>
                <w:highlight w:val="none"/>
              </w:rPr>
              <w:t>≥10</w:t>
            </w:r>
          </w:p>
        </w:tc>
        <w:tc>
          <w:tcPr>
            <w:tcW w:w="1276" w:type="dxa"/>
            <w:tcBorders>
              <w:top w:val="nil"/>
              <w:left w:val="single" w:color="000000" w:sz="8" w:space="0"/>
              <w:bottom w:val="single" w:color="000000" w:sz="8" w:space="0"/>
              <w:right w:val="single" w:color="000000" w:sz="8" w:space="0"/>
            </w:tcBorders>
            <w:noWrap w:val="0"/>
            <w:vAlign w:val="center"/>
          </w:tcPr>
          <w:p w14:paraId="0A8B7617">
            <w:pPr>
              <w:jc w:val="center"/>
              <w:rPr>
                <w:rFonts w:hint="default"/>
                <w:color w:val="auto"/>
                <w:kern w:val="0"/>
                <w:szCs w:val="21"/>
                <w:highlight w:val="none"/>
                <w:lang w:val="en-US" w:eastAsia="zh-CN"/>
              </w:rPr>
            </w:pPr>
            <w:r>
              <w:rPr>
                <w:rFonts w:hint="eastAsia"/>
                <w:color w:val="auto"/>
                <w:kern w:val="0"/>
                <w:szCs w:val="21"/>
                <w:highlight w:val="none"/>
                <w:lang w:val="en-US" w:eastAsia="zh-CN"/>
              </w:rPr>
              <w:t>40</w:t>
            </w:r>
          </w:p>
        </w:tc>
      </w:tr>
      <w:tr w14:paraId="6F099B3D">
        <w:tblPrEx>
          <w:tblCellMar>
            <w:top w:w="0" w:type="dxa"/>
            <w:left w:w="108" w:type="dxa"/>
            <w:bottom w:w="0" w:type="dxa"/>
            <w:right w:w="108" w:type="dxa"/>
          </w:tblCellMar>
        </w:tblPrEx>
        <w:trPr>
          <w:trHeight w:val="314"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B0D744C">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hint="eastAsia"/>
                <w:color w:val="auto"/>
                <w:kern w:val="0"/>
                <w:sz w:val="21"/>
                <w:szCs w:val="21"/>
                <w:highlight w:val="none"/>
                <w:lang w:val="en-US" w:eastAsia="zh-CN" w:bidi="ar"/>
              </w:rPr>
              <w:t>8</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627532B1">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w:t>
            </w:r>
            <w:r>
              <w:rPr>
                <w:rFonts w:eastAsia="宋体"/>
                <w:color w:val="auto"/>
                <w:kern w:val="0"/>
                <w:sz w:val="21"/>
                <w:szCs w:val="21"/>
                <w:highlight w:val="none"/>
                <w:lang w:bidi="ar"/>
              </w:rPr>
              <w:t>持续发挥作用</w:t>
            </w:r>
          </w:p>
        </w:tc>
        <w:tc>
          <w:tcPr>
            <w:tcW w:w="1165" w:type="dxa"/>
            <w:tcBorders>
              <w:top w:val="nil"/>
              <w:left w:val="single" w:color="000000" w:sz="8" w:space="0"/>
              <w:bottom w:val="single" w:color="000000" w:sz="8" w:space="0"/>
              <w:right w:val="single" w:color="000000" w:sz="8" w:space="0"/>
            </w:tcBorders>
            <w:noWrap w:val="0"/>
            <w:vAlign w:val="center"/>
          </w:tcPr>
          <w:p w14:paraId="729C78B4">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single" w:color="000000" w:sz="8" w:space="0"/>
              <w:bottom w:val="single" w:color="000000" w:sz="8" w:space="0"/>
              <w:right w:val="single" w:color="000000" w:sz="8" w:space="0"/>
            </w:tcBorders>
            <w:noWrap w:val="0"/>
            <w:vAlign w:val="center"/>
          </w:tcPr>
          <w:p w14:paraId="13E283A7">
            <w:pPr>
              <w:jc w:val="center"/>
              <w:rPr>
                <w:rFonts w:hint="default"/>
                <w:color w:val="auto"/>
                <w:kern w:val="0"/>
                <w:szCs w:val="21"/>
                <w:highlight w:val="none"/>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noWrap w:val="0"/>
            <w:vAlign w:val="center"/>
          </w:tcPr>
          <w:p w14:paraId="285B75F6">
            <w:pPr>
              <w:jc w:val="center"/>
              <w:rPr>
                <w:rFonts w:hint="default"/>
                <w:color w:val="auto"/>
                <w:kern w:val="0"/>
                <w:szCs w:val="21"/>
                <w:highlight w:val="none"/>
              </w:rPr>
            </w:pPr>
            <w:r>
              <w:rPr>
                <w:rFonts w:hint="default"/>
                <w:color w:val="auto"/>
                <w:kern w:val="0"/>
                <w:szCs w:val="21"/>
                <w:highlight w:val="none"/>
              </w:rPr>
              <w:t>是</w:t>
            </w:r>
          </w:p>
        </w:tc>
      </w:tr>
      <w:tr w14:paraId="65CA18A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BEC577C">
            <w:pPr>
              <w:widowControl/>
              <w:jc w:val="center"/>
              <w:textAlignment w:val="center"/>
              <w:rPr>
                <w:rFonts w:eastAsia="宋体"/>
                <w:b/>
                <w:bCs/>
                <w:color w:val="auto"/>
                <w:kern w:val="0"/>
                <w:sz w:val="21"/>
                <w:szCs w:val="21"/>
                <w:highlight w:val="none"/>
                <w:lang w:bidi="ar"/>
              </w:rPr>
            </w:pPr>
            <w:r>
              <w:rPr>
                <w:rFonts w:hint="default" w:eastAsia="宋体"/>
                <w:b/>
                <w:bCs/>
                <w:color w:val="auto"/>
                <w:kern w:val="0"/>
                <w:sz w:val="21"/>
                <w:szCs w:val="21"/>
                <w:highlight w:val="none"/>
                <w:lang w:bidi="ar"/>
              </w:rPr>
              <w:t>10</w:t>
            </w:r>
          </w:p>
        </w:tc>
        <w:tc>
          <w:tcPr>
            <w:tcW w:w="4426" w:type="dxa"/>
            <w:tcBorders>
              <w:top w:val="nil"/>
              <w:left w:val="single" w:color="000000" w:sz="8" w:space="0"/>
              <w:bottom w:val="single" w:color="000000" w:sz="8" w:space="0"/>
              <w:right w:val="single" w:color="000000" w:sz="8" w:space="0"/>
            </w:tcBorders>
            <w:noWrap w:val="0"/>
            <w:vAlign w:val="center"/>
          </w:tcPr>
          <w:p w14:paraId="334BC9FE">
            <w:pPr>
              <w:widowControl/>
              <w:jc w:val="center"/>
              <w:textAlignment w:val="center"/>
              <w:rPr>
                <w:rFonts w:hint="default" w:eastAsia="宋体"/>
                <w:b/>
                <w:bCs/>
                <w:color w:val="auto"/>
                <w:kern w:val="0"/>
                <w:sz w:val="21"/>
                <w:szCs w:val="21"/>
                <w:highlight w:val="none"/>
                <w:lang w:bidi="ar"/>
              </w:rPr>
            </w:pPr>
            <w:r>
              <w:rPr>
                <w:rFonts w:eastAsia="宋体"/>
                <w:b/>
                <w:bCs/>
                <w:color w:val="auto"/>
                <w:kern w:val="0"/>
                <w:sz w:val="21"/>
                <w:szCs w:val="21"/>
                <w:highlight w:val="none"/>
                <w:lang w:bidi="ar"/>
              </w:rPr>
              <w:t>以县城为重要载体的城镇化试点支持</w:t>
            </w:r>
          </w:p>
        </w:tc>
        <w:tc>
          <w:tcPr>
            <w:tcW w:w="1165" w:type="dxa"/>
            <w:tcBorders>
              <w:top w:val="nil"/>
              <w:left w:val="single" w:color="000000" w:sz="8" w:space="0"/>
              <w:bottom w:val="single" w:color="000000" w:sz="8" w:space="0"/>
              <w:right w:val="single" w:color="000000" w:sz="8" w:space="0"/>
            </w:tcBorders>
            <w:noWrap w:val="0"/>
            <w:vAlign w:val="center"/>
          </w:tcPr>
          <w:p w14:paraId="05D2130B">
            <w:pPr>
              <w:widowControl/>
              <w:jc w:val="center"/>
              <w:textAlignment w:val="center"/>
              <w:rPr>
                <w:rFonts w:eastAsia="宋体"/>
                <w:color w:val="auto"/>
                <w:kern w:val="0"/>
                <w:sz w:val="21"/>
                <w:szCs w:val="21"/>
                <w:highlight w:val="none"/>
                <w:lang w:bidi="ar"/>
              </w:rPr>
            </w:pPr>
          </w:p>
        </w:tc>
        <w:tc>
          <w:tcPr>
            <w:tcW w:w="1544" w:type="dxa"/>
            <w:tcBorders>
              <w:top w:val="nil"/>
              <w:left w:val="single" w:color="000000" w:sz="8" w:space="0"/>
              <w:bottom w:val="single" w:color="000000" w:sz="8" w:space="0"/>
              <w:right w:val="single" w:color="000000" w:sz="8" w:space="0"/>
            </w:tcBorders>
            <w:noWrap w:val="0"/>
            <w:vAlign w:val="center"/>
          </w:tcPr>
          <w:p w14:paraId="2A0A0711">
            <w:pPr>
              <w:jc w:val="center"/>
              <w:rPr>
                <w:rFonts w:hint="default"/>
                <w:color w:val="auto"/>
                <w:kern w:val="0"/>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2231E5BB">
            <w:pPr>
              <w:jc w:val="center"/>
              <w:rPr>
                <w:rFonts w:hint="default"/>
                <w:color w:val="auto"/>
                <w:kern w:val="0"/>
                <w:szCs w:val="21"/>
                <w:highlight w:val="none"/>
              </w:rPr>
            </w:pPr>
          </w:p>
        </w:tc>
      </w:tr>
      <w:tr w14:paraId="0DBF618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15765235">
            <w:pPr>
              <w:widowControl/>
              <w:jc w:val="center"/>
              <w:textAlignment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27CAE230">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工程变更率</w:t>
            </w:r>
          </w:p>
        </w:tc>
        <w:tc>
          <w:tcPr>
            <w:tcW w:w="1165" w:type="dxa"/>
            <w:tcBorders>
              <w:top w:val="nil"/>
              <w:left w:val="single" w:color="000000" w:sz="8" w:space="0"/>
              <w:bottom w:val="single" w:color="000000" w:sz="8" w:space="0"/>
              <w:right w:val="single" w:color="000000" w:sz="8" w:space="0"/>
            </w:tcBorders>
            <w:noWrap w:val="0"/>
            <w:vAlign w:val="center"/>
          </w:tcPr>
          <w:p w14:paraId="0FD7B46A">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p>
        </w:tc>
        <w:tc>
          <w:tcPr>
            <w:tcW w:w="1544" w:type="dxa"/>
            <w:tcBorders>
              <w:top w:val="nil"/>
              <w:left w:val="single" w:color="000000" w:sz="8" w:space="0"/>
              <w:bottom w:val="single" w:color="000000" w:sz="8" w:space="0"/>
              <w:right w:val="single" w:color="000000" w:sz="8" w:space="0"/>
            </w:tcBorders>
            <w:noWrap w:val="0"/>
            <w:vAlign w:val="center"/>
          </w:tcPr>
          <w:p w14:paraId="4BFFDCD9">
            <w:pPr>
              <w:jc w:val="center"/>
              <w:rPr>
                <w:rFonts w:hint="default"/>
                <w:color w:val="auto"/>
                <w:kern w:val="0"/>
                <w:szCs w:val="21"/>
                <w:highlight w:val="none"/>
              </w:rPr>
            </w:pPr>
            <w:r>
              <w:rPr>
                <w:rFonts w:hint="default"/>
                <w:color w:val="auto"/>
                <w:kern w:val="0"/>
                <w:szCs w:val="21"/>
                <w:highlight w:val="none"/>
              </w:rPr>
              <w:t>≤15%</w:t>
            </w:r>
          </w:p>
        </w:tc>
        <w:tc>
          <w:tcPr>
            <w:tcW w:w="1276" w:type="dxa"/>
            <w:tcBorders>
              <w:top w:val="nil"/>
              <w:left w:val="single" w:color="000000" w:sz="8" w:space="0"/>
              <w:bottom w:val="single" w:color="000000" w:sz="8" w:space="0"/>
              <w:right w:val="single" w:color="000000" w:sz="8" w:space="0"/>
            </w:tcBorders>
            <w:noWrap w:val="0"/>
            <w:vAlign w:val="center"/>
          </w:tcPr>
          <w:p w14:paraId="068B8D99">
            <w:pPr>
              <w:jc w:val="center"/>
              <w:rPr>
                <w:rFonts w:hint="eastAsia"/>
                <w:color w:val="auto"/>
                <w:kern w:val="0"/>
                <w:szCs w:val="21"/>
                <w:highlight w:val="none"/>
                <w:lang w:val="en-US" w:eastAsia="zh-CN"/>
              </w:rPr>
            </w:pPr>
            <w:r>
              <w:rPr>
                <w:rFonts w:hint="default"/>
                <w:color w:val="auto"/>
                <w:kern w:val="0"/>
                <w:szCs w:val="21"/>
                <w:highlight w:val="none"/>
              </w:rPr>
              <w:t>≤15</w:t>
            </w:r>
          </w:p>
        </w:tc>
      </w:tr>
      <w:tr w14:paraId="00729940">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76C76BAE">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0D180040">
            <w:pPr>
              <w:widowControl/>
              <w:jc w:val="center"/>
              <w:textAlignment w:val="center"/>
              <w:rPr>
                <w:rFonts w:hint="default" w:eastAsia="宋体"/>
                <w:color w:val="auto"/>
                <w:sz w:val="21"/>
                <w:szCs w:val="21"/>
                <w:highlight w:val="none"/>
              </w:rPr>
            </w:pPr>
            <w:r>
              <w:rPr>
                <w:rFonts w:eastAsia="宋体"/>
                <w:color w:val="auto"/>
                <w:sz w:val="21"/>
                <w:szCs w:val="21"/>
                <w:highlight w:val="none"/>
              </w:rPr>
              <w:t>竣工验收合格率</w:t>
            </w:r>
          </w:p>
        </w:tc>
        <w:tc>
          <w:tcPr>
            <w:tcW w:w="1165" w:type="dxa"/>
            <w:tcBorders>
              <w:top w:val="nil"/>
              <w:left w:val="single" w:color="000000" w:sz="8" w:space="0"/>
              <w:bottom w:val="single" w:color="000000" w:sz="8" w:space="0"/>
              <w:right w:val="single" w:color="000000" w:sz="8" w:space="0"/>
            </w:tcBorders>
            <w:noWrap w:val="0"/>
            <w:vAlign w:val="center"/>
          </w:tcPr>
          <w:p w14:paraId="667373C1">
            <w:pPr>
              <w:jc w:val="center"/>
              <w:rPr>
                <w:rFonts w:eastAsia="宋体"/>
                <w:color w:val="auto"/>
                <w:sz w:val="21"/>
                <w:szCs w:val="21"/>
                <w:highlight w:val="none"/>
              </w:rPr>
            </w:pPr>
            <w:r>
              <w:rPr>
                <w:rFonts w:hint="default" w:eastAsia="宋体"/>
                <w:color w:val="auto"/>
                <w:sz w:val="21"/>
                <w:szCs w:val="21"/>
                <w:highlight w:val="none"/>
              </w:rPr>
              <w:t>%</w:t>
            </w:r>
          </w:p>
        </w:tc>
        <w:tc>
          <w:tcPr>
            <w:tcW w:w="1544" w:type="dxa"/>
            <w:tcBorders>
              <w:top w:val="nil"/>
              <w:left w:val="single" w:color="000000" w:sz="8" w:space="0"/>
              <w:bottom w:val="single" w:color="000000" w:sz="8" w:space="0"/>
              <w:right w:val="single" w:color="000000" w:sz="8" w:space="0"/>
            </w:tcBorders>
            <w:noWrap w:val="0"/>
            <w:vAlign w:val="center"/>
          </w:tcPr>
          <w:p w14:paraId="6F0AA6EF">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3EEC2CAF">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r>
      <w:tr w14:paraId="632B3CCE">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7C56013A">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3</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26CD778C">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w:t>
            </w:r>
            <w:r>
              <w:rPr>
                <w:rFonts w:eastAsia="宋体"/>
                <w:color w:val="auto"/>
                <w:kern w:val="0"/>
                <w:sz w:val="21"/>
                <w:szCs w:val="21"/>
                <w:highlight w:val="none"/>
                <w:lang w:bidi="ar"/>
              </w:rPr>
              <w:t>持续发挥作用</w:t>
            </w:r>
          </w:p>
        </w:tc>
        <w:tc>
          <w:tcPr>
            <w:tcW w:w="1165" w:type="dxa"/>
            <w:tcBorders>
              <w:top w:val="nil"/>
              <w:left w:val="single" w:color="000000" w:sz="8" w:space="0"/>
              <w:bottom w:val="single" w:color="000000" w:sz="8" w:space="0"/>
              <w:right w:val="single" w:color="000000" w:sz="8" w:space="0"/>
            </w:tcBorders>
            <w:noWrap w:val="0"/>
            <w:vAlign w:val="center"/>
          </w:tcPr>
          <w:p w14:paraId="73E74FC9">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single" w:color="000000" w:sz="8" w:space="0"/>
              <w:bottom w:val="single" w:color="000000" w:sz="8" w:space="0"/>
              <w:right w:val="single" w:color="000000" w:sz="8" w:space="0"/>
            </w:tcBorders>
            <w:shd w:val="clear" w:color="auto" w:fill="auto"/>
            <w:noWrap w:val="0"/>
            <w:vAlign w:val="center"/>
          </w:tcPr>
          <w:p w14:paraId="16175BAC">
            <w:pPr>
              <w:jc w:val="center"/>
              <w:rPr>
                <w:rFonts w:hint="default"/>
                <w:color w:val="auto"/>
                <w:kern w:val="0"/>
                <w:szCs w:val="21"/>
                <w:highlight w:val="none"/>
                <w:lang w:val="en-US" w:eastAsia="zh-CN"/>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36AC9E84">
            <w:pPr>
              <w:jc w:val="center"/>
              <w:rPr>
                <w:rFonts w:hint="default"/>
                <w:color w:val="auto"/>
                <w:kern w:val="0"/>
                <w:szCs w:val="21"/>
                <w:highlight w:val="none"/>
                <w:lang w:val="en-US" w:eastAsia="zh-CN"/>
              </w:rPr>
            </w:pPr>
            <w:r>
              <w:rPr>
                <w:rFonts w:hint="default"/>
                <w:color w:val="auto"/>
                <w:kern w:val="0"/>
                <w:szCs w:val="21"/>
                <w:highlight w:val="none"/>
              </w:rPr>
              <w:t>是</w:t>
            </w:r>
          </w:p>
        </w:tc>
      </w:tr>
      <w:tr w14:paraId="204969D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744D7E72">
            <w:pPr>
              <w:jc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4</w:t>
            </w:r>
            <w:r>
              <w:rPr>
                <w:rFonts w:hint="default" w:eastAsia="宋体"/>
                <w:color w:val="auto"/>
                <w:kern w:val="0"/>
                <w:sz w:val="21"/>
                <w:szCs w:val="21"/>
                <w:highlight w:val="none"/>
                <w:lang w:bidi="ar"/>
              </w:rPr>
              <w:t>)</w:t>
            </w:r>
          </w:p>
        </w:tc>
        <w:tc>
          <w:tcPr>
            <w:tcW w:w="4426" w:type="dxa"/>
            <w:tcBorders>
              <w:top w:val="nil"/>
              <w:left w:val="single" w:color="000000" w:sz="8" w:space="0"/>
              <w:bottom w:val="single" w:color="000000" w:sz="8" w:space="0"/>
              <w:right w:val="single" w:color="000000" w:sz="8" w:space="0"/>
            </w:tcBorders>
            <w:noWrap w:val="0"/>
            <w:vAlign w:val="center"/>
          </w:tcPr>
          <w:p w14:paraId="04AD06CC">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是否提升</w:t>
            </w:r>
            <w:r>
              <w:rPr>
                <w:rFonts w:eastAsia="宋体"/>
                <w:color w:val="auto"/>
                <w:kern w:val="0"/>
                <w:sz w:val="21"/>
                <w:szCs w:val="21"/>
                <w:highlight w:val="none"/>
                <w:lang w:bidi="ar"/>
              </w:rPr>
              <w:t>常住人口城镇化率</w:t>
            </w:r>
          </w:p>
        </w:tc>
        <w:tc>
          <w:tcPr>
            <w:tcW w:w="1165" w:type="dxa"/>
            <w:tcBorders>
              <w:top w:val="nil"/>
              <w:left w:val="single" w:color="000000" w:sz="8" w:space="0"/>
              <w:bottom w:val="single" w:color="000000" w:sz="8" w:space="0"/>
              <w:right w:val="single" w:color="000000" w:sz="8" w:space="0"/>
            </w:tcBorders>
            <w:noWrap w:val="0"/>
            <w:vAlign w:val="center"/>
          </w:tcPr>
          <w:p w14:paraId="40F70910">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single" w:color="000000" w:sz="8" w:space="0"/>
              <w:bottom w:val="single" w:color="000000" w:sz="8" w:space="0"/>
              <w:right w:val="single" w:color="000000" w:sz="8" w:space="0"/>
            </w:tcBorders>
            <w:shd w:val="clear" w:color="auto" w:fill="auto"/>
            <w:noWrap w:val="0"/>
            <w:vAlign w:val="center"/>
          </w:tcPr>
          <w:p w14:paraId="0A111679">
            <w:pPr>
              <w:jc w:val="center"/>
              <w:rPr>
                <w:rFonts w:hint="default"/>
                <w:color w:val="auto"/>
                <w:kern w:val="0"/>
                <w:szCs w:val="21"/>
                <w:highlight w:val="none"/>
                <w:lang w:val="en-US" w:eastAsia="zh-CN"/>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13C53D4C">
            <w:pPr>
              <w:jc w:val="center"/>
              <w:rPr>
                <w:rFonts w:hint="default"/>
                <w:color w:val="auto"/>
                <w:kern w:val="0"/>
                <w:szCs w:val="21"/>
                <w:highlight w:val="none"/>
                <w:lang w:val="en-US" w:eastAsia="zh-CN"/>
              </w:rPr>
            </w:pPr>
            <w:r>
              <w:rPr>
                <w:rFonts w:hint="default"/>
                <w:color w:val="auto"/>
                <w:kern w:val="0"/>
                <w:szCs w:val="21"/>
                <w:highlight w:val="none"/>
              </w:rPr>
              <w:t>是</w:t>
            </w:r>
          </w:p>
        </w:tc>
      </w:tr>
      <w:tr w14:paraId="6199B2AA">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9868E68">
            <w:pPr>
              <w:widowControl/>
              <w:jc w:val="center"/>
              <w:textAlignment w:val="center"/>
              <w:rPr>
                <w:rFonts w:eastAsia="宋体"/>
                <w:b/>
                <w:bCs/>
                <w:color w:val="auto"/>
                <w:kern w:val="0"/>
                <w:sz w:val="21"/>
                <w:szCs w:val="21"/>
                <w:highlight w:val="none"/>
                <w:lang w:bidi="ar"/>
              </w:rPr>
            </w:pPr>
            <w:r>
              <w:rPr>
                <w:rFonts w:hint="default" w:eastAsia="宋体"/>
                <w:b/>
                <w:bCs/>
                <w:color w:val="auto"/>
                <w:kern w:val="0"/>
                <w:sz w:val="21"/>
                <w:szCs w:val="21"/>
                <w:highlight w:val="none"/>
                <w:lang w:bidi="ar"/>
              </w:rPr>
              <w:t>11</w:t>
            </w:r>
          </w:p>
        </w:tc>
        <w:tc>
          <w:tcPr>
            <w:tcW w:w="4426" w:type="dxa"/>
            <w:tcBorders>
              <w:top w:val="nil"/>
              <w:left w:val="nil"/>
              <w:bottom w:val="single" w:color="000000" w:sz="8" w:space="0"/>
              <w:right w:val="single" w:color="000000" w:sz="8" w:space="0"/>
            </w:tcBorders>
            <w:noWrap w:val="0"/>
            <w:vAlign w:val="center"/>
          </w:tcPr>
          <w:p w14:paraId="5BC8C3B1">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废旧物资回收循环利用专项</w:t>
            </w:r>
            <w:r>
              <w:rPr>
                <w:rFonts w:hint="default" w:eastAsia="宋体"/>
                <w:b/>
                <w:bCs/>
                <w:color w:val="auto"/>
                <w:kern w:val="0"/>
                <w:sz w:val="21"/>
                <w:szCs w:val="21"/>
                <w:highlight w:val="none"/>
                <w:lang w:bidi="ar"/>
              </w:rPr>
              <w:t>项目</w:t>
            </w:r>
          </w:p>
        </w:tc>
        <w:tc>
          <w:tcPr>
            <w:tcW w:w="1165" w:type="dxa"/>
            <w:tcBorders>
              <w:top w:val="nil"/>
              <w:left w:val="single" w:color="000000" w:sz="8" w:space="0"/>
              <w:bottom w:val="single" w:color="000000" w:sz="8" w:space="0"/>
              <w:right w:val="single" w:color="000000" w:sz="8" w:space="0"/>
            </w:tcBorders>
            <w:noWrap w:val="0"/>
            <w:vAlign w:val="center"/>
          </w:tcPr>
          <w:p w14:paraId="36B28C67">
            <w:pPr>
              <w:widowControl/>
              <w:jc w:val="center"/>
              <w:textAlignment w:val="center"/>
              <w:rPr>
                <w:rFonts w:eastAsia="宋体"/>
                <w:b/>
                <w:bCs/>
                <w:color w:val="auto"/>
                <w:kern w:val="0"/>
                <w:sz w:val="21"/>
                <w:szCs w:val="21"/>
                <w:highlight w:val="none"/>
                <w:lang w:val="en" w:bidi="ar"/>
              </w:rPr>
            </w:pPr>
          </w:p>
        </w:tc>
        <w:tc>
          <w:tcPr>
            <w:tcW w:w="1544" w:type="dxa"/>
            <w:tcBorders>
              <w:top w:val="nil"/>
              <w:left w:val="nil"/>
              <w:bottom w:val="single" w:color="000000" w:sz="8" w:space="0"/>
              <w:right w:val="single" w:color="000000" w:sz="8" w:space="0"/>
            </w:tcBorders>
            <w:noWrap w:val="0"/>
            <w:vAlign w:val="center"/>
          </w:tcPr>
          <w:p w14:paraId="47AE5ECB">
            <w:pPr>
              <w:jc w:val="center"/>
              <w:rPr>
                <w:rFonts w:hint="default"/>
                <w:color w:val="auto"/>
                <w:kern w:val="0"/>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03024119">
            <w:pPr>
              <w:jc w:val="center"/>
              <w:rPr>
                <w:rFonts w:hint="default"/>
                <w:color w:val="auto"/>
                <w:kern w:val="0"/>
                <w:szCs w:val="21"/>
                <w:highlight w:val="none"/>
              </w:rPr>
            </w:pPr>
          </w:p>
        </w:tc>
      </w:tr>
      <w:tr w14:paraId="78080DE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75DF20C">
            <w:pPr>
              <w:widowControl/>
              <w:jc w:val="center"/>
              <w:textAlignment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nil"/>
              <w:bottom w:val="single" w:color="000000" w:sz="8" w:space="0"/>
              <w:right w:val="single" w:color="000000" w:sz="8" w:space="0"/>
            </w:tcBorders>
            <w:noWrap w:val="0"/>
            <w:vAlign w:val="center"/>
          </w:tcPr>
          <w:p w14:paraId="15D433C3">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工程变更率</w:t>
            </w:r>
          </w:p>
        </w:tc>
        <w:tc>
          <w:tcPr>
            <w:tcW w:w="1165" w:type="dxa"/>
            <w:tcBorders>
              <w:top w:val="nil"/>
              <w:left w:val="single" w:color="000000" w:sz="8" w:space="0"/>
              <w:bottom w:val="single" w:color="000000" w:sz="8" w:space="0"/>
              <w:right w:val="single" w:color="000000" w:sz="8" w:space="0"/>
            </w:tcBorders>
            <w:noWrap w:val="0"/>
            <w:vAlign w:val="center"/>
          </w:tcPr>
          <w:p w14:paraId="3CB428C5">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p>
        </w:tc>
        <w:tc>
          <w:tcPr>
            <w:tcW w:w="1544" w:type="dxa"/>
            <w:tcBorders>
              <w:top w:val="nil"/>
              <w:left w:val="nil"/>
              <w:bottom w:val="single" w:color="000000" w:sz="8" w:space="0"/>
              <w:right w:val="single" w:color="000000" w:sz="8" w:space="0"/>
            </w:tcBorders>
            <w:noWrap w:val="0"/>
            <w:vAlign w:val="center"/>
          </w:tcPr>
          <w:p w14:paraId="2D9E0531">
            <w:pPr>
              <w:jc w:val="center"/>
              <w:rPr>
                <w:rFonts w:hint="default"/>
                <w:color w:val="auto"/>
                <w:kern w:val="0"/>
                <w:szCs w:val="21"/>
                <w:highlight w:val="none"/>
              </w:rPr>
            </w:pPr>
            <w:r>
              <w:rPr>
                <w:rFonts w:hint="default"/>
                <w:color w:val="auto"/>
                <w:kern w:val="0"/>
                <w:szCs w:val="21"/>
                <w:highlight w:val="none"/>
              </w:rPr>
              <w:t>≤15</w:t>
            </w:r>
          </w:p>
        </w:tc>
        <w:tc>
          <w:tcPr>
            <w:tcW w:w="1276" w:type="dxa"/>
            <w:tcBorders>
              <w:top w:val="nil"/>
              <w:left w:val="single" w:color="000000" w:sz="8" w:space="0"/>
              <w:bottom w:val="single" w:color="000000" w:sz="8" w:space="0"/>
              <w:right w:val="single" w:color="000000" w:sz="8" w:space="0"/>
            </w:tcBorders>
            <w:noWrap w:val="0"/>
            <w:vAlign w:val="center"/>
          </w:tcPr>
          <w:p w14:paraId="3C5FE32C">
            <w:pPr>
              <w:jc w:val="center"/>
              <w:rPr>
                <w:rFonts w:hint="eastAsia"/>
                <w:color w:val="auto"/>
                <w:kern w:val="0"/>
                <w:szCs w:val="21"/>
                <w:highlight w:val="none"/>
                <w:lang w:val="en-US" w:eastAsia="zh-CN"/>
              </w:rPr>
            </w:pPr>
            <w:r>
              <w:rPr>
                <w:rFonts w:hint="default"/>
                <w:color w:val="auto"/>
                <w:kern w:val="0"/>
                <w:szCs w:val="21"/>
                <w:highlight w:val="none"/>
              </w:rPr>
              <w:t>≤15</w:t>
            </w:r>
          </w:p>
        </w:tc>
      </w:tr>
      <w:tr w14:paraId="6477165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9D19ECC">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nil"/>
              <w:bottom w:val="single" w:color="000000" w:sz="8" w:space="0"/>
              <w:right w:val="single" w:color="000000" w:sz="8" w:space="0"/>
            </w:tcBorders>
            <w:noWrap w:val="0"/>
            <w:vAlign w:val="center"/>
          </w:tcPr>
          <w:p w14:paraId="3971AE09">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支持项目建设过程中重大环境污染事项发生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7B03ED04">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nil"/>
              <w:bottom w:val="single" w:color="000000" w:sz="8" w:space="0"/>
              <w:right w:val="single" w:color="000000" w:sz="8" w:space="0"/>
            </w:tcBorders>
            <w:noWrap w:val="0"/>
            <w:vAlign w:val="center"/>
          </w:tcPr>
          <w:p w14:paraId="163F7C13">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5CB5A9A5">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6E569BC5">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0DEE4F7">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3</w:t>
            </w:r>
            <w:r>
              <w:rPr>
                <w:rFonts w:hint="default" w:eastAsia="宋体"/>
                <w:color w:val="auto"/>
                <w:kern w:val="0"/>
                <w:sz w:val="21"/>
                <w:szCs w:val="21"/>
                <w:highlight w:val="none"/>
                <w:lang w:bidi="ar"/>
              </w:rPr>
              <w:t>)</w:t>
            </w:r>
          </w:p>
        </w:tc>
        <w:tc>
          <w:tcPr>
            <w:tcW w:w="4426" w:type="dxa"/>
            <w:tcBorders>
              <w:top w:val="nil"/>
              <w:left w:val="nil"/>
              <w:bottom w:val="single" w:color="000000" w:sz="8" w:space="0"/>
              <w:right w:val="single" w:color="000000" w:sz="8" w:space="0"/>
            </w:tcBorders>
            <w:noWrap w:val="0"/>
            <w:vAlign w:val="center"/>
          </w:tcPr>
          <w:p w14:paraId="3A1AB12C">
            <w:pPr>
              <w:widowControl/>
              <w:jc w:val="center"/>
              <w:textAlignment w:val="center"/>
              <w:rPr>
                <w:rFonts w:hint="default" w:eastAsia="宋体"/>
                <w:color w:val="auto"/>
                <w:sz w:val="21"/>
                <w:szCs w:val="21"/>
                <w:highlight w:val="none"/>
              </w:rPr>
            </w:pPr>
            <w:r>
              <w:rPr>
                <w:rFonts w:eastAsia="宋体"/>
                <w:color w:val="auto"/>
                <w:sz w:val="21"/>
                <w:szCs w:val="21"/>
                <w:highlight w:val="none"/>
              </w:rPr>
              <w:t>竣工验收合格率</w:t>
            </w:r>
          </w:p>
        </w:tc>
        <w:tc>
          <w:tcPr>
            <w:tcW w:w="1165" w:type="dxa"/>
            <w:tcBorders>
              <w:top w:val="nil"/>
              <w:left w:val="single" w:color="000000" w:sz="8" w:space="0"/>
              <w:bottom w:val="single" w:color="000000" w:sz="8" w:space="0"/>
              <w:right w:val="single" w:color="000000" w:sz="8" w:space="0"/>
            </w:tcBorders>
            <w:noWrap w:val="0"/>
            <w:vAlign w:val="center"/>
          </w:tcPr>
          <w:p w14:paraId="431F4842">
            <w:pPr>
              <w:jc w:val="center"/>
              <w:rPr>
                <w:rFonts w:eastAsia="宋体"/>
                <w:color w:val="auto"/>
                <w:sz w:val="21"/>
                <w:szCs w:val="21"/>
                <w:highlight w:val="none"/>
              </w:rPr>
            </w:pPr>
            <w:r>
              <w:rPr>
                <w:rFonts w:hint="default" w:eastAsia="宋体"/>
                <w:color w:val="auto"/>
                <w:sz w:val="21"/>
                <w:szCs w:val="21"/>
                <w:highlight w:val="none"/>
              </w:rPr>
              <w:t>%</w:t>
            </w:r>
          </w:p>
        </w:tc>
        <w:tc>
          <w:tcPr>
            <w:tcW w:w="1544" w:type="dxa"/>
            <w:tcBorders>
              <w:top w:val="nil"/>
              <w:left w:val="nil"/>
              <w:bottom w:val="single" w:color="000000" w:sz="8" w:space="0"/>
              <w:right w:val="single" w:color="000000" w:sz="8" w:space="0"/>
            </w:tcBorders>
            <w:noWrap w:val="0"/>
            <w:vAlign w:val="center"/>
          </w:tcPr>
          <w:p w14:paraId="3DA640A3">
            <w:pPr>
              <w:jc w:val="center"/>
              <w:rPr>
                <w:rFonts w:hint="default"/>
                <w:color w:val="auto"/>
                <w:kern w:val="0"/>
                <w:szCs w:val="21"/>
                <w:highlight w:val="none"/>
                <w:lang w:val="en-US" w:eastAsia="zh-CN"/>
              </w:rPr>
            </w:pPr>
            <w:r>
              <w:rPr>
                <w:rFonts w:hint="eastAsia"/>
                <w:color w:val="auto"/>
                <w:kern w:val="0"/>
                <w:szCs w:val="21"/>
                <w:highlight w:val="none"/>
                <w:lang w:val="en-US" w:eastAsia="zh-CN"/>
              </w:rPr>
              <w:t>100</w:t>
            </w:r>
          </w:p>
        </w:tc>
        <w:tc>
          <w:tcPr>
            <w:tcW w:w="1276" w:type="dxa"/>
            <w:tcBorders>
              <w:top w:val="nil"/>
              <w:left w:val="single" w:color="000000" w:sz="8" w:space="0"/>
              <w:bottom w:val="single" w:color="000000" w:sz="8" w:space="0"/>
              <w:right w:val="single" w:color="000000" w:sz="8" w:space="0"/>
            </w:tcBorders>
            <w:noWrap w:val="0"/>
            <w:vAlign w:val="center"/>
          </w:tcPr>
          <w:p w14:paraId="6263A1BF">
            <w:pPr>
              <w:jc w:val="center"/>
              <w:rPr>
                <w:rFonts w:hint="default"/>
                <w:color w:val="auto"/>
                <w:kern w:val="0"/>
                <w:szCs w:val="21"/>
                <w:highlight w:val="none"/>
              </w:rPr>
            </w:pPr>
            <w:r>
              <w:rPr>
                <w:rFonts w:hint="eastAsia"/>
                <w:color w:val="auto"/>
                <w:kern w:val="0"/>
                <w:szCs w:val="21"/>
                <w:highlight w:val="none"/>
                <w:lang w:val="en-US" w:eastAsia="zh-CN"/>
              </w:rPr>
              <w:t>100</w:t>
            </w:r>
          </w:p>
        </w:tc>
      </w:tr>
      <w:tr w14:paraId="1A8C718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A69070A">
            <w:pPr>
              <w:jc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4</w:t>
            </w:r>
            <w:r>
              <w:rPr>
                <w:rFonts w:hint="default" w:eastAsia="宋体"/>
                <w:color w:val="auto"/>
                <w:kern w:val="0"/>
                <w:sz w:val="21"/>
                <w:szCs w:val="21"/>
                <w:highlight w:val="none"/>
                <w:lang w:bidi="ar"/>
              </w:rPr>
              <w:t>)</w:t>
            </w:r>
          </w:p>
        </w:tc>
        <w:tc>
          <w:tcPr>
            <w:tcW w:w="4426" w:type="dxa"/>
            <w:tcBorders>
              <w:top w:val="nil"/>
              <w:left w:val="nil"/>
              <w:bottom w:val="single" w:color="000000" w:sz="8" w:space="0"/>
              <w:right w:val="single" w:color="000000" w:sz="8" w:space="0"/>
            </w:tcBorders>
            <w:noWrap w:val="0"/>
            <w:vAlign w:val="center"/>
          </w:tcPr>
          <w:p w14:paraId="31164230">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拉动固定资产投资</w:t>
            </w:r>
          </w:p>
        </w:tc>
        <w:tc>
          <w:tcPr>
            <w:tcW w:w="1165" w:type="dxa"/>
            <w:tcBorders>
              <w:top w:val="nil"/>
              <w:left w:val="single" w:color="000000" w:sz="8" w:space="0"/>
              <w:bottom w:val="single" w:color="000000" w:sz="8" w:space="0"/>
              <w:right w:val="single" w:color="000000" w:sz="8" w:space="0"/>
            </w:tcBorders>
            <w:noWrap w:val="0"/>
            <w:vAlign w:val="center"/>
          </w:tcPr>
          <w:p w14:paraId="7B5E689F">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万元</w:t>
            </w:r>
          </w:p>
        </w:tc>
        <w:tc>
          <w:tcPr>
            <w:tcW w:w="1544" w:type="dxa"/>
            <w:tcBorders>
              <w:top w:val="nil"/>
              <w:left w:val="nil"/>
              <w:bottom w:val="single" w:color="000000" w:sz="8" w:space="0"/>
              <w:right w:val="single" w:color="000000" w:sz="8" w:space="0"/>
            </w:tcBorders>
            <w:noWrap w:val="0"/>
            <w:vAlign w:val="center"/>
          </w:tcPr>
          <w:p w14:paraId="16FB1C8B">
            <w:pPr>
              <w:jc w:val="center"/>
              <w:rPr>
                <w:rFonts w:hint="default"/>
                <w:color w:val="auto"/>
                <w:kern w:val="0"/>
                <w:szCs w:val="21"/>
                <w:highlight w:val="none"/>
                <w:lang w:val="en-US" w:eastAsia="zh-CN"/>
              </w:rPr>
            </w:pPr>
            <w:r>
              <w:rPr>
                <w:rFonts w:hint="default"/>
                <w:color w:val="auto"/>
                <w:kern w:val="0"/>
                <w:szCs w:val="21"/>
                <w:highlight w:val="none"/>
              </w:rPr>
              <w:t>≥1</w:t>
            </w:r>
            <w:r>
              <w:rPr>
                <w:rFonts w:hint="eastAsia"/>
                <w:color w:val="auto"/>
                <w:kern w:val="0"/>
                <w:szCs w:val="21"/>
                <w:highlight w:val="none"/>
                <w:lang w:val="en-US" w:eastAsia="zh-CN"/>
              </w:rPr>
              <w:t>0000</w:t>
            </w:r>
          </w:p>
        </w:tc>
        <w:tc>
          <w:tcPr>
            <w:tcW w:w="1276" w:type="dxa"/>
            <w:tcBorders>
              <w:top w:val="nil"/>
              <w:left w:val="single" w:color="000000" w:sz="8" w:space="0"/>
              <w:bottom w:val="single" w:color="000000" w:sz="8" w:space="0"/>
              <w:right w:val="single" w:color="000000" w:sz="8" w:space="0"/>
            </w:tcBorders>
            <w:noWrap w:val="0"/>
            <w:vAlign w:val="center"/>
          </w:tcPr>
          <w:p w14:paraId="1DE7C3E3">
            <w:pPr>
              <w:jc w:val="center"/>
              <w:rPr>
                <w:rFonts w:hint="default"/>
                <w:color w:val="auto"/>
                <w:kern w:val="0"/>
                <w:szCs w:val="21"/>
                <w:highlight w:val="none"/>
              </w:rPr>
            </w:pPr>
            <w:r>
              <w:rPr>
                <w:rFonts w:hint="default"/>
                <w:color w:val="auto"/>
                <w:kern w:val="0"/>
                <w:szCs w:val="21"/>
                <w:highlight w:val="none"/>
              </w:rPr>
              <w:t>416144.69</w:t>
            </w:r>
          </w:p>
        </w:tc>
      </w:tr>
      <w:tr w14:paraId="21BA8221">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3FCC291">
            <w:pPr>
              <w:jc w:val="center"/>
              <w:rPr>
                <w:rFonts w:eastAsia="宋体"/>
                <w:color w:val="auto"/>
                <w:sz w:val="21"/>
                <w:szCs w:val="21"/>
                <w:highlight w:val="none"/>
              </w:rPr>
            </w:pPr>
            <w:r>
              <w:rPr>
                <w:rFonts w:hint="default" w:eastAsia="宋体"/>
                <w:color w:val="auto"/>
                <w:kern w:val="0"/>
                <w:sz w:val="21"/>
                <w:szCs w:val="21"/>
                <w:highlight w:val="none"/>
                <w:lang w:bidi="ar"/>
              </w:rPr>
              <w:t>(5)</w:t>
            </w:r>
          </w:p>
        </w:tc>
        <w:tc>
          <w:tcPr>
            <w:tcW w:w="4426" w:type="dxa"/>
            <w:tcBorders>
              <w:top w:val="nil"/>
              <w:left w:val="nil"/>
              <w:bottom w:val="single" w:color="000000" w:sz="8" w:space="0"/>
              <w:right w:val="single" w:color="000000" w:sz="8" w:space="0"/>
            </w:tcBorders>
            <w:noWrap w:val="0"/>
            <w:vAlign w:val="center"/>
          </w:tcPr>
          <w:p w14:paraId="1F2BEFE1">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项目建设过程中重大安全事故发生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7630048E">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nil"/>
              <w:bottom w:val="single" w:color="000000" w:sz="8" w:space="0"/>
              <w:right w:val="single" w:color="000000" w:sz="8" w:space="0"/>
            </w:tcBorders>
            <w:noWrap w:val="0"/>
            <w:vAlign w:val="center"/>
          </w:tcPr>
          <w:p w14:paraId="0917595A">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62827F67">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24EF971B">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90715AC">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(6)</w:t>
            </w:r>
          </w:p>
        </w:tc>
        <w:tc>
          <w:tcPr>
            <w:tcW w:w="4426" w:type="dxa"/>
            <w:tcBorders>
              <w:top w:val="nil"/>
              <w:left w:val="nil"/>
              <w:bottom w:val="single" w:color="000000" w:sz="8" w:space="0"/>
              <w:right w:val="single" w:color="000000" w:sz="8" w:space="0"/>
            </w:tcBorders>
            <w:noWrap w:val="0"/>
            <w:vAlign w:val="center"/>
          </w:tcPr>
          <w:p w14:paraId="05833547">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w:t>
            </w:r>
            <w:r>
              <w:rPr>
                <w:rFonts w:eastAsia="宋体"/>
                <w:color w:val="auto"/>
                <w:kern w:val="0"/>
                <w:sz w:val="21"/>
                <w:szCs w:val="21"/>
                <w:highlight w:val="none"/>
                <w:lang w:bidi="ar"/>
              </w:rPr>
              <w:t>持续发挥作用</w:t>
            </w:r>
          </w:p>
        </w:tc>
        <w:tc>
          <w:tcPr>
            <w:tcW w:w="1165" w:type="dxa"/>
            <w:tcBorders>
              <w:top w:val="nil"/>
              <w:left w:val="single" w:color="000000" w:sz="8" w:space="0"/>
              <w:bottom w:val="single" w:color="000000" w:sz="8" w:space="0"/>
              <w:right w:val="single" w:color="000000" w:sz="8" w:space="0"/>
            </w:tcBorders>
            <w:noWrap w:val="0"/>
            <w:vAlign w:val="center"/>
          </w:tcPr>
          <w:p w14:paraId="0C24AA74">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nil"/>
              <w:bottom w:val="single" w:color="000000" w:sz="8" w:space="0"/>
              <w:right w:val="single" w:color="000000" w:sz="8" w:space="0"/>
            </w:tcBorders>
            <w:shd w:val="clear" w:color="auto" w:fill="auto"/>
            <w:noWrap w:val="0"/>
            <w:vAlign w:val="center"/>
          </w:tcPr>
          <w:p w14:paraId="170955DB">
            <w:pPr>
              <w:jc w:val="center"/>
              <w:rPr>
                <w:rFonts w:hint="default"/>
                <w:color w:val="auto"/>
                <w:kern w:val="0"/>
                <w:szCs w:val="21"/>
                <w:highlight w:val="none"/>
                <w:lang w:val="en-US" w:eastAsia="zh-CN"/>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4C1C81FA">
            <w:pPr>
              <w:jc w:val="center"/>
              <w:rPr>
                <w:rFonts w:hint="default"/>
                <w:color w:val="auto"/>
                <w:kern w:val="0"/>
                <w:szCs w:val="21"/>
                <w:highlight w:val="none"/>
                <w:lang w:val="en-US" w:eastAsia="zh-CN"/>
              </w:rPr>
            </w:pPr>
            <w:r>
              <w:rPr>
                <w:rFonts w:hint="default"/>
                <w:color w:val="auto"/>
                <w:kern w:val="0"/>
                <w:szCs w:val="21"/>
                <w:highlight w:val="none"/>
              </w:rPr>
              <w:t>是</w:t>
            </w:r>
          </w:p>
        </w:tc>
      </w:tr>
      <w:tr w14:paraId="2468491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4E6119BA">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(7)</w:t>
            </w:r>
          </w:p>
        </w:tc>
        <w:tc>
          <w:tcPr>
            <w:tcW w:w="4426" w:type="dxa"/>
            <w:tcBorders>
              <w:top w:val="nil"/>
              <w:left w:val="nil"/>
              <w:bottom w:val="single" w:color="000000" w:sz="8" w:space="0"/>
              <w:right w:val="single" w:color="000000" w:sz="8" w:space="0"/>
            </w:tcBorders>
            <w:noWrap w:val="0"/>
            <w:vAlign w:val="center"/>
          </w:tcPr>
          <w:p w14:paraId="68B441AD">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是否提升</w:t>
            </w:r>
            <w:r>
              <w:rPr>
                <w:rFonts w:eastAsia="宋体"/>
                <w:color w:val="auto"/>
                <w:kern w:val="0"/>
                <w:sz w:val="21"/>
                <w:szCs w:val="21"/>
                <w:highlight w:val="none"/>
                <w:lang w:bidi="ar"/>
              </w:rPr>
              <w:t>当地形象影响</w:t>
            </w:r>
          </w:p>
        </w:tc>
        <w:tc>
          <w:tcPr>
            <w:tcW w:w="1165" w:type="dxa"/>
            <w:tcBorders>
              <w:top w:val="nil"/>
              <w:left w:val="single" w:color="000000" w:sz="8" w:space="0"/>
              <w:bottom w:val="single" w:color="000000" w:sz="8" w:space="0"/>
              <w:right w:val="single" w:color="000000" w:sz="8" w:space="0"/>
            </w:tcBorders>
            <w:noWrap w:val="0"/>
            <w:vAlign w:val="center"/>
          </w:tcPr>
          <w:p w14:paraId="290D72BC">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nil"/>
              <w:bottom w:val="single" w:color="000000" w:sz="8" w:space="0"/>
              <w:right w:val="single" w:color="000000" w:sz="8" w:space="0"/>
            </w:tcBorders>
            <w:shd w:val="clear" w:color="auto" w:fill="auto"/>
            <w:noWrap w:val="0"/>
            <w:vAlign w:val="center"/>
          </w:tcPr>
          <w:p w14:paraId="21EBC4E0">
            <w:pPr>
              <w:jc w:val="center"/>
              <w:rPr>
                <w:rFonts w:hint="default"/>
                <w:color w:val="auto"/>
                <w:kern w:val="0"/>
                <w:szCs w:val="21"/>
                <w:highlight w:val="none"/>
                <w:lang w:val="en-US" w:eastAsia="zh-CN"/>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32E2D7D6">
            <w:pPr>
              <w:jc w:val="center"/>
              <w:rPr>
                <w:rFonts w:hint="default"/>
                <w:color w:val="auto"/>
                <w:kern w:val="0"/>
                <w:szCs w:val="21"/>
                <w:highlight w:val="none"/>
                <w:lang w:val="en-US" w:eastAsia="zh-CN"/>
              </w:rPr>
            </w:pPr>
            <w:r>
              <w:rPr>
                <w:rFonts w:hint="default"/>
                <w:color w:val="auto"/>
                <w:kern w:val="0"/>
                <w:szCs w:val="21"/>
                <w:highlight w:val="none"/>
              </w:rPr>
              <w:t>是</w:t>
            </w:r>
          </w:p>
        </w:tc>
      </w:tr>
      <w:tr w14:paraId="6BD2AE6C">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3188E7E8">
            <w:pPr>
              <w:jc w:val="center"/>
              <w:rPr>
                <w:rFonts w:eastAsia="宋体"/>
                <w:b/>
                <w:bCs/>
                <w:color w:val="auto"/>
                <w:sz w:val="21"/>
                <w:szCs w:val="21"/>
                <w:highlight w:val="none"/>
              </w:rPr>
            </w:pPr>
            <w:r>
              <w:rPr>
                <w:rFonts w:hint="default" w:eastAsia="宋体"/>
                <w:b/>
                <w:bCs/>
                <w:color w:val="auto"/>
                <w:sz w:val="21"/>
                <w:szCs w:val="21"/>
                <w:highlight w:val="none"/>
              </w:rPr>
              <w:t>12</w:t>
            </w:r>
          </w:p>
        </w:tc>
        <w:tc>
          <w:tcPr>
            <w:tcW w:w="4426" w:type="dxa"/>
            <w:tcBorders>
              <w:top w:val="nil"/>
              <w:left w:val="nil"/>
              <w:bottom w:val="single" w:color="000000" w:sz="8" w:space="0"/>
              <w:right w:val="single" w:color="000000" w:sz="8" w:space="0"/>
            </w:tcBorders>
            <w:noWrap w:val="0"/>
            <w:vAlign w:val="center"/>
          </w:tcPr>
          <w:p w14:paraId="542F4AAE">
            <w:pPr>
              <w:widowControl/>
              <w:jc w:val="center"/>
              <w:textAlignment w:val="center"/>
              <w:rPr>
                <w:rFonts w:eastAsia="宋体"/>
                <w:b/>
                <w:bCs/>
                <w:color w:val="auto"/>
                <w:sz w:val="21"/>
                <w:szCs w:val="21"/>
                <w:highlight w:val="none"/>
              </w:rPr>
            </w:pPr>
            <w:r>
              <w:rPr>
                <w:rFonts w:eastAsia="宋体"/>
                <w:b/>
                <w:bCs/>
                <w:color w:val="auto"/>
                <w:sz w:val="21"/>
                <w:szCs w:val="21"/>
                <w:highlight w:val="none"/>
              </w:rPr>
              <w:t>重大投资项目前期工作经费项目</w:t>
            </w:r>
          </w:p>
        </w:tc>
        <w:tc>
          <w:tcPr>
            <w:tcW w:w="1165" w:type="dxa"/>
            <w:tcBorders>
              <w:top w:val="nil"/>
              <w:left w:val="single" w:color="000000" w:sz="8" w:space="0"/>
              <w:bottom w:val="single" w:color="000000" w:sz="8" w:space="0"/>
              <w:right w:val="single" w:color="000000" w:sz="8" w:space="0"/>
            </w:tcBorders>
            <w:noWrap w:val="0"/>
            <w:vAlign w:val="center"/>
          </w:tcPr>
          <w:p w14:paraId="7B45502C">
            <w:pPr>
              <w:widowControl/>
              <w:jc w:val="center"/>
              <w:textAlignment w:val="center"/>
              <w:rPr>
                <w:rFonts w:eastAsia="宋体"/>
                <w:b/>
                <w:bCs/>
                <w:color w:val="auto"/>
                <w:sz w:val="21"/>
                <w:szCs w:val="21"/>
                <w:highlight w:val="none"/>
              </w:rPr>
            </w:pPr>
          </w:p>
        </w:tc>
        <w:tc>
          <w:tcPr>
            <w:tcW w:w="1544" w:type="dxa"/>
            <w:tcBorders>
              <w:top w:val="nil"/>
              <w:left w:val="nil"/>
              <w:bottom w:val="single" w:color="000000" w:sz="8" w:space="0"/>
              <w:right w:val="single" w:color="000000" w:sz="8" w:space="0"/>
            </w:tcBorders>
            <w:noWrap w:val="0"/>
            <w:vAlign w:val="center"/>
          </w:tcPr>
          <w:p w14:paraId="6FEC399F">
            <w:pPr>
              <w:jc w:val="center"/>
              <w:rPr>
                <w:rFonts w:hint="default"/>
                <w:color w:val="auto"/>
                <w:kern w:val="0"/>
                <w:szCs w:val="21"/>
                <w:highlight w:val="none"/>
              </w:rPr>
            </w:pPr>
          </w:p>
        </w:tc>
        <w:tc>
          <w:tcPr>
            <w:tcW w:w="1276" w:type="dxa"/>
            <w:tcBorders>
              <w:top w:val="nil"/>
              <w:left w:val="single" w:color="000000" w:sz="8" w:space="0"/>
              <w:bottom w:val="single" w:color="000000" w:sz="8" w:space="0"/>
              <w:right w:val="single" w:color="000000" w:sz="8" w:space="0"/>
            </w:tcBorders>
            <w:noWrap w:val="0"/>
            <w:vAlign w:val="center"/>
          </w:tcPr>
          <w:p w14:paraId="53D25FE1">
            <w:pPr>
              <w:jc w:val="center"/>
              <w:rPr>
                <w:rFonts w:hint="default"/>
                <w:color w:val="auto"/>
                <w:kern w:val="0"/>
                <w:szCs w:val="21"/>
                <w:highlight w:val="none"/>
              </w:rPr>
            </w:pPr>
          </w:p>
        </w:tc>
      </w:tr>
      <w:tr w14:paraId="3D1B6266">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5CE104A4">
            <w:pPr>
              <w:widowControl/>
              <w:jc w:val="center"/>
              <w:textAlignment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1</w:t>
            </w:r>
            <w:r>
              <w:rPr>
                <w:rFonts w:hint="default" w:eastAsia="宋体"/>
                <w:color w:val="auto"/>
                <w:kern w:val="0"/>
                <w:sz w:val="21"/>
                <w:szCs w:val="21"/>
                <w:highlight w:val="none"/>
                <w:lang w:bidi="ar"/>
              </w:rPr>
              <w:t>)</w:t>
            </w:r>
          </w:p>
        </w:tc>
        <w:tc>
          <w:tcPr>
            <w:tcW w:w="4426" w:type="dxa"/>
            <w:tcBorders>
              <w:top w:val="nil"/>
              <w:left w:val="nil"/>
              <w:bottom w:val="single" w:color="000000" w:sz="8" w:space="0"/>
              <w:right w:val="single" w:color="000000" w:sz="8" w:space="0"/>
            </w:tcBorders>
            <w:noWrap w:val="0"/>
            <w:vAlign w:val="center"/>
          </w:tcPr>
          <w:p w14:paraId="198AD474">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支持项目建设过程中重大环境污染事项发生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3BCF1EAB">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nil"/>
              <w:bottom w:val="single" w:color="000000" w:sz="8" w:space="0"/>
              <w:right w:val="single" w:color="000000" w:sz="8" w:space="0"/>
            </w:tcBorders>
            <w:noWrap w:val="0"/>
            <w:vAlign w:val="center"/>
          </w:tcPr>
          <w:p w14:paraId="210392E8">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5889568B">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7740DF3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0EAC75ED">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2</w:t>
            </w:r>
            <w:r>
              <w:rPr>
                <w:rFonts w:hint="default" w:eastAsia="宋体"/>
                <w:color w:val="auto"/>
                <w:kern w:val="0"/>
                <w:sz w:val="21"/>
                <w:szCs w:val="21"/>
                <w:highlight w:val="none"/>
                <w:lang w:bidi="ar"/>
              </w:rPr>
              <w:t>)</w:t>
            </w:r>
          </w:p>
        </w:tc>
        <w:tc>
          <w:tcPr>
            <w:tcW w:w="4426" w:type="dxa"/>
            <w:tcBorders>
              <w:top w:val="nil"/>
              <w:left w:val="nil"/>
              <w:bottom w:val="single" w:color="000000" w:sz="8" w:space="0"/>
              <w:right w:val="single" w:color="000000" w:sz="8" w:space="0"/>
            </w:tcBorders>
            <w:noWrap w:val="0"/>
            <w:vAlign w:val="center"/>
          </w:tcPr>
          <w:p w14:paraId="1DEF31BE">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项目开工率</w:t>
            </w:r>
          </w:p>
        </w:tc>
        <w:tc>
          <w:tcPr>
            <w:tcW w:w="1165" w:type="dxa"/>
            <w:tcBorders>
              <w:top w:val="nil"/>
              <w:left w:val="single" w:color="000000" w:sz="8" w:space="0"/>
              <w:bottom w:val="single" w:color="000000" w:sz="8" w:space="0"/>
              <w:right w:val="single" w:color="000000" w:sz="8" w:space="0"/>
            </w:tcBorders>
            <w:noWrap w:val="0"/>
            <w:vAlign w:val="center"/>
          </w:tcPr>
          <w:p w14:paraId="4D93AC26">
            <w:pPr>
              <w:widowControl/>
              <w:jc w:val="center"/>
              <w:textAlignment w:val="center"/>
              <w:rPr>
                <w:rFonts w:hint="eastAsia" w:eastAsia="宋体"/>
                <w:color w:val="auto"/>
                <w:kern w:val="0"/>
                <w:sz w:val="21"/>
                <w:szCs w:val="21"/>
                <w:highlight w:val="none"/>
                <w:lang w:eastAsia="zh-CN" w:bidi="ar"/>
              </w:rPr>
            </w:pPr>
            <w:r>
              <w:rPr>
                <w:rFonts w:hint="eastAsia"/>
                <w:color w:val="auto"/>
                <w:kern w:val="0"/>
                <w:sz w:val="21"/>
                <w:szCs w:val="21"/>
                <w:highlight w:val="none"/>
                <w:lang w:val="en-US" w:eastAsia="zh-CN" w:bidi="ar"/>
              </w:rPr>
              <w:t>%</w:t>
            </w:r>
          </w:p>
        </w:tc>
        <w:tc>
          <w:tcPr>
            <w:tcW w:w="1544" w:type="dxa"/>
            <w:tcBorders>
              <w:top w:val="nil"/>
              <w:left w:val="nil"/>
              <w:bottom w:val="single" w:color="000000" w:sz="8" w:space="0"/>
              <w:right w:val="single" w:color="000000" w:sz="8" w:space="0"/>
            </w:tcBorders>
            <w:noWrap w:val="0"/>
            <w:vAlign w:val="center"/>
          </w:tcPr>
          <w:p w14:paraId="41167BE0">
            <w:pPr>
              <w:jc w:val="center"/>
              <w:rPr>
                <w:rFonts w:hint="default"/>
                <w:color w:val="auto"/>
                <w:kern w:val="0"/>
                <w:szCs w:val="21"/>
                <w:highlight w:val="none"/>
                <w:lang w:val="en-US" w:eastAsia="zh-CN"/>
              </w:rPr>
            </w:pPr>
            <w:r>
              <w:rPr>
                <w:rFonts w:hint="eastAsia"/>
                <w:color w:val="auto"/>
                <w:kern w:val="0"/>
                <w:szCs w:val="21"/>
                <w:highlight w:val="none"/>
                <w:lang w:val="en-US" w:eastAsia="zh-CN"/>
              </w:rPr>
              <w:t>50</w:t>
            </w:r>
          </w:p>
        </w:tc>
        <w:tc>
          <w:tcPr>
            <w:tcW w:w="1276" w:type="dxa"/>
            <w:tcBorders>
              <w:top w:val="nil"/>
              <w:left w:val="single" w:color="000000" w:sz="8" w:space="0"/>
              <w:bottom w:val="single" w:color="000000" w:sz="8" w:space="0"/>
              <w:right w:val="single" w:color="000000" w:sz="8" w:space="0"/>
            </w:tcBorders>
            <w:noWrap w:val="0"/>
            <w:vAlign w:val="center"/>
          </w:tcPr>
          <w:p w14:paraId="0782A127">
            <w:pPr>
              <w:jc w:val="center"/>
              <w:rPr>
                <w:rFonts w:hint="default"/>
                <w:color w:val="auto"/>
                <w:kern w:val="0"/>
                <w:szCs w:val="21"/>
                <w:highlight w:val="none"/>
                <w:lang w:val="en-US" w:eastAsia="zh-CN"/>
              </w:rPr>
            </w:pPr>
            <w:r>
              <w:rPr>
                <w:rFonts w:hint="eastAsia"/>
                <w:color w:val="auto"/>
                <w:kern w:val="0"/>
                <w:szCs w:val="21"/>
                <w:highlight w:val="none"/>
                <w:lang w:val="en-US" w:eastAsia="zh-CN"/>
              </w:rPr>
              <w:t>50.37</w:t>
            </w:r>
          </w:p>
        </w:tc>
      </w:tr>
      <w:tr w14:paraId="45ECA488">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550CD8F">
            <w:pPr>
              <w:jc w:val="center"/>
              <w:rPr>
                <w:rFonts w:eastAsia="宋体"/>
                <w:color w:val="auto"/>
                <w:kern w:val="0"/>
                <w:sz w:val="21"/>
                <w:szCs w:val="21"/>
                <w:highlight w:val="none"/>
                <w:lang w:bidi="ar"/>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3</w:t>
            </w:r>
            <w:r>
              <w:rPr>
                <w:rFonts w:hint="default" w:eastAsia="宋体"/>
                <w:color w:val="auto"/>
                <w:kern w:val="0"/>
                <w:sz w:val="21"/>
                <w:szCs w:val="21"/>
                <w:highlight w:val="none"/>
                <w:lang w:bidi="ar"/>
              </w:rPr>
              <w:t>)</w:t>
            </w:r>
          </w:p>
        </w:tc>
        <w:tc>
          <w:tcPr>
            <w:tcW w:w="4426" w:type="dxa"/>
            <w:tcBorders>
              <w:top w:val="nil"/>
              <w:left w:val="nil"/>
              <w:bottom w:val="single" w:color="000000" w:sz="8" w:space="0"/>
              <w:right w:val="single" w:color="000000" w:sz="8" w:space="0"/>
            </w:tcBorders>
            <w:noWrap w:val="0"/>
            <w:vAlign w:val="center"/>
          </w:tcPr>
          <w:p w14:paraId="2BF6D0B3">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val="en" w:bidi="ar"/>
              </w:rPr>
              <w:t>支持项目争取中央资金</w:t>
            </w:r>
          </w:p>
        </w:tc>
        <w:tc>
          <w:tcPr>
            <w:tcW w:w="1165" w:type="dxa"/>
            <w:tcBorders>
              <w:top w:val="nil"/>
              <w:left w:val="single" w:color="000000" w:sz="8" w:space="0"/>
              <w:bottom w:val="single" w:color="000000" w:sz="8" w:space="0"/>
              <w:right w:val="single" w:color="000000" w:sz="8" w:space="0"/>
            </w:tcBorders>
            <w:noWrap w:val="0"/>
            <w:vAlign w:val="center"/>
          </w:tcPr>
          <w:p w14:paraId="5B7FEA4D">
            <w:pPr>
              <w:widowControl/>
              <w:jc w:val="center"/>
              <w:textAlignment w:val="center"/>
              <w:rPr>
                <w:rFonts w:eastAsia="宋体"/>
                <w:color w:val="auto"/>
                <w:kern w:val="0"/>
                <w:sz w:val="21"/>
                <w:szCs w:val="21"/>
                <w:highlight w:val="none"/>
                <w:lang w:val="en" w:bidi="ar"/>
              </w:rPr>
            </w:pPr>
            <w:r>
              <w:rPr>
                <w:rFonts w:eastAsia="宋体"/>
                <w:color w:val="auto"/>
                <w:kern w:val="0"/>
                <w:sz w:val="21"/>
                <w:szCs w:val="21"/>
                <w:highlight w:val="none"/>
                <w:lang w:bidi="ar"/>
              </w:rPr>
              <w:t>万元</w:t>
            </w:r>
          </w:p>
        </w:tc>
        <w:tc>
          <w:tcPr>
            <w:tcW w:w="1544" w:type="dxa"/>
            <w:tcBorders>
              <w:top w:val="nil"/>
              <w:left w:val="nil"/>
              <w:bottom w:val="single" w:color="000000" w:sz="8" w:space="0"/>
              <w:right w:val="single" w:color="000000" w:sz="8" w:space="0"/>
            </w:tcBorders>
            <w:noWrap w:val="0"/>
            <w:vAlign w:val="center"/>
          </w:tcPr>
          <w:p w14:paraId="42FF8507">
            <w:pPr>
              <w:jc w:val="center"/>
              <w:rPr>
                <w:rFonts w:hint="default"/>
                <w:color w:val="auto"/>
                <w:kern w:val="0"/>
                <w:szCs w:val="21"/>
                <w:highlight w:val="none"/>
                <w:lang w:val="en-US" w:eastAsia="zh-CN"/>
              </w:rPr>
            </w:pPr>
            <w:r>
              <w:rPr>
                <w:rFonts w:hint="eastAsia"/>
                <w:color w:val="auto"/>
                <w:kern w:val="0"/>
                <w:szCs w:val="21"/>
                <w:highlight w:val="none"/>
                <w:lang w:val="en-US" w:eastAsia="zh-CN"/>
              </w:rPr>
              <w:t>250000</w:t>
            </w:r>
          </w:p>
        </w:tc>
        <w:tc>
          <w:tcPr>
            <w:tcW w:w="1276" w:type="dxa"/>
            <w:tcBorders>
              <w:top w:val="nil"/>
              <w:left w:val="single" w:color="000000" w:sz="8" w:space="0"/>
              <w:bottom w:val="single" w:color="000000" w:sz="8" w:space="0"/>
              <w:right w:val="single" w:color="000000" w:sz="8" w:space="0"/>
            </w:tcBorders>
            <w:noWrap w:val="0"/>
            <w:vAlign w:val="center"/>
          </w:tcPr>
          <w:p w14:paraId="41744D05">
            <w:pPr>
              <w:jc w:val="center"/>
              <w:rPr>
                <w:rFonts w:hint="default"/>
                <w:color w:val="auto"/>
                <w:kern w:val="0"/>
                <w:szCs w:val="21"/>
                <w:highlight w:val="none"/>
              </w:rPr>
            </w:pPr>
            <w:r>
              <w:rPr>
                <w:rFonts w:hint="eastAsia"/>
                <w:color w:val="auto"/>
                <w:kern w:val="0"/>
                <w:szCs w:val="21"/>
                <w:highlight w:val="none"/>
                <w:lang w:val="en-US" w:eastAsia="zh-CN"/>
              </w:rPr>
              <w:t>250</w:t>
            </w:r>
            <w:r>
              <w:rPr>
                <w:rFonts w:hint="default"/>
                <w:color w:val="auto"/>
                <w:kern w:val="0"/>
                <w:szCs w:val="21"/>
                <w:highlight w:val="none"/>
              </w:rPr>
              <w:t>275</w:t>
            </w:r>
          </w:p>
        </w:tc>
      </w:tr>
      <w:tr w14:paraId="60E566ED">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6CF665E1">
            <w:pPr>
              <w:jc w:val="center"/>
              <w:rPr>
                <w:rFonts w:eastAsia="宋体"/>
                <w:color w:val="auto"/>
                <w:sz w:val="21"/>
                <w:szCs w:val="21"/>
                <w:highlight w:val="none"/>
              </w:rPr>
            </w:pPr>
            <w:r>
              <w:rPr>
                <w:rFonts w:hint="default" w:eastAsia="宋体"/>
                <w:color w:val="auto"/>
                <w:kern w:val="0"/>
                <w:sz w:val="21"/>
                <w:szCs w:val="21"/>
                <w:highlight w:val="none"/>
                <w:lang w:bidi="ar"/>
              </w:rPr>
              <w:t>(</w:t>
            </w:r>
            <w:r>
              <w:rPr>
                <w:rFonts w:eastAsia="宋体"/>
                <w:color w:val="auto"/>
                <w:kern w:val="0"/>
                <w:sz w:val="21"/>
                <w:szCs w:val="21"/>
                <w:highlight w:val="none"/>
                <w:lang w:bidi="ar"/>
              </w:rPr>
              <w:t>4</w:t>
            </w:r>
            <w:r>
              <w:rPr>
                <w:rFonts w:hint="default" w:eastAsia="宋体"/>
                <w:color w:val="auto"/>
                <w:kern w:val="0"/>
                <w:sz w:val="21"/>
                <w:szCs w:val="21"/>
                <w:highlight w:val="none"/>
                <w:lang w:bidi="ar"/>
              </w:rPr>
              <w:t>)</w:t>
            </w:r>
          </w:p>
        </w:tc>
        <w:tc>
          <w:tcPr>
            <w:tcW w:w="4426" w:type="dxa"/>
            <w:tcBorders>
              <w:top w:val="nil"/>
              <w:left w:val="nil"/>
              <w:bottom w:val="single" w:color="000000" w:sz="8" w:space="0"/>
              <w:right w:val="single" w:color="000000" w:sz="8" w:space="0"/>
            </w:tcBorders>
            <w:noWrap w:val="0"/>
            <w:vAlign w:val="center"/>
          </w:tcPr>
          <w:p w14:paraId="40C2BCD3">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项目建设过程中重大安全事故发生</w:t>
            </w:r>
            <w:r>
              <w:rPr>
                <w:rFonts w:hint="default" w:eastAsia="宋体"/>
                <w:color w:val="auto"/>
                <w:kern w:val="0"/>
                <w:sz w:val="21"/>
                <w:szCs w:val="21"/>
                <w:highlight w:val="none"/>
                <w:lang w:bidi="ar"/>
              </w:rPr>
              <w:t>次数</w:t>
            </w:r>
          </w:p>
        </w:tc>
        <w:tc>
          <w:tcPr>
            <w:tcW w:w="1165" w:type="dxa"/>
            <w:tcBorders>
              <w:top w:val="nil"/>
              <w:left w:val="single" w:color="000000" w:sz="8" w:space="0"/>
              <w:bottom w:val="single" w:color="000000" w:sz="8" w:space="0"/>
              <w:right w:val="single" w:color="000000" w:sz="8" w:space="0"/>
            </w:tcBorders>
            <w:noWrap w:val="0"/>
            <w:vAlign w:val="center"/>
          </w:tcPr>
          <w:p w14:paraId="51A4D46B">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次</w:t>
            </w:r>
          </w:p>
        </w:tc>
        <w:tc>
          <w:tcPr>
            <w:tcW w:w="1544" w:type="dxa"/>
            <w:tcBorders>
              <w:top w:val="nil"/>
              <w:left w:val="nil"/>
              <w:bottom w:val="single" w:color="000000" w:sz="8" w:space="0"/>
              <w:right w:val="single" w:color="000000" w:sz="8" w:space="0"/>
            </w:tcBorders>
            <w:noWrap w:val="0"/>
            <w:vAlign w:val="center"/>
          </w:tcPr>
          <w:p w14:paraId="756102BC">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c>
          <w:tcPr>
            <w:tcW w:w="1276" w:type="dxa"/>
            <w:tcBorders>
              <w:top w:val="nil"/>
              <w:left w:val="single" w:color="000000" w:sz="8" w:space="0"/>
              <w:bottom w:val="single" w:color="000000" w:sz="8" w:space="0"/>
              <w:right w:val="single" w:color="000000" w:sz="8" w:space="0"/>
            </w:tcBorders>
            <w:noWrap w:val="0"/>
            <w:vAlign w:val="center"/>
          </w:tcPr>
          <w:p w14:paraId="77039BEC">
            <w:pPr>
              <w:jc w:val="center"/>
              <w:rPr>
                <w:rFonts w:hint="eastAsia"/>
                <w:color w:val="auto"/>
                <w:kern w:val="0"/>
                <w:szCs w:val="21"/>
                <w:highlight w:val="none"/>
                <w:lang w:val="en-US" w:eastAsia="zh-CN"/>
              </w:rPr>
            </w:pPr>
            <w:r>
              <w:rPr>
                <w:rFonts w:hint="eastAsia"/>
                <w:color w:val="auto"/>
                <w:kern w:val="0"/>
                <w:szCs w:val="21"/>
                <w:highlight w:val="none"/>
                <w:lang w:val="en-US" w:eastAsia="zh-CN"/>
              </w:rPr>
              <w:t>0</w:t>
            </w:r>
          </w:p>
        </w:tc>
      </w:tr>
      <w:tr w14:paraId="0E848A72">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23A67272">
            <w:pPr>
              <w:jc w:val="center"/>
              <w:rPr>
                <w:rFonts w:eastAsia="宋体"/>
                <w:color w:val="auto"/>
                <w:sz w:val="21"/>
                <w:szCs w:val="21"/>
                <w:highlight w:val="none"/>
              </w:rPr>
            </w:pPr>
            <w:r>
              <w:rPr>
                <w:rFonts w:hint="default" w:eastAsia="宋体"/>
                <w:color w:val="auto"/>
                <w:kern w:val="0"/>
                <w:sz w:val="21"/>
                <w:szCs w:val="21"/>
                <w:highlight w:val="none"/>
                <w:lang w:bidi="ar"/>
              </w:rPr>
              <w:t>(5)</w:t>
            </w:r>
          </w:p>
        </w:tc>
        <w:tc>
          <w:tcPr>
            <w:tcW w:w="4426" w:type="dxa"/>
            <w:tcBorders>
              <w:top w:val="nil"/>
              <w:left w:val="nil"/>
              <w:bottom w:val="single" w:color="000000" w:sz="8" w:space="0"/>
              <w:right w:val="single" w:color="000000" w:sz="8" w:space="0"/>
            </w:tcBorders>
            <w:noWrap w:val="0"/>
            <w:vAlign w:val="center"/>
          </w:tcPr>
          <w:p w14:paraId="570C2C6B">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w:t>
            </w:r>
            <w:r>
              <w:rPr>
                <w:rFonts w:eastAsia="宋体"/>
                <w:color w:val="auto"/>
                <w:kern w:val="0"/>
                <w:sz w:val="21"/>
                <w:szCs w:val="21"/>
                <w:highlight w:val="none"/>
                <w:lang w:bidi="ar"/>
              </w:rPr>
              <w:t>持续发挥作用</w:t>
            </w:r>
          </w:p>
        </w:tc>
        <w:tc>
          <w:tcPr>
            <w:tcW w:w="1165" w:type="dxa"/>
            <w:tcBorders>
              <w:top w:val="nil"/>
              <w:left w:val="single" w:color="000000" w:sz="8" w:space="0"/>
              <w:bottom w:val="single" w:color="000000" w:sz="8" w:space="0"/>
              <w:right w:val="single" w:color="000000" w:sz="8" w:space="0"/>
            </w:tcBorders>
            <w:noWrap w:val="0"/>
            <w:vAlign w:val="center"/>
          </w:tcPr>
          <w:p w14:paraId="135115E4">
            <w:pPr>
              <w:widowControl/>
              <w:jc w:val="center"/>
              <w:textAlignment w:val="center"/>
              <w:rPr>
                <w:rFonts w:hint="default"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nil"/>
              <w:bottom w:val="single" w:color="000000" w:sz="8" w:space="0"/>
              <w:right w:val="single" w:color="000000" w:sz="8" w:space="0"/>
            </w:tcBorders>
            <w:shd w:val="clear" w:color="auto" w:fill="auto"/>
            <w:noWrap w:val="0"/>
            <w:vAlign w:val="center"/>
          </w:tcPr>
          <w:p w14:paraId="21636807">
            <w:pPr>
              <w:jc w:val="center"/>
              <w:rPr>
                <w:rFonts w:hint="default"/>
                <w:color w:val="auto"/>
                <w:kern w:val="0"/>
                <w:szCs w:val="21"/>
                <w:highlight w:val="none"/>
                <w:lang w:val="en-US" w:eastAsia="zh-CN"/>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38A0B55F">
            <w:pPr>
              <w:jc w:val="center"/>
              <w:rPr>
                <w:rFonts w:hint="default"/>
                <w:color w:val="auto"/>
                <w:kern w:val="0"/>
                <w:szCs w:val="21"/>
                <w:highlight w:val="none"/>
                <w:lang w:val="en-US" w:eastAsia="zh-CN"/>
              </w:rPr>
            </w:pPr>
            <w:r>
              <w:rPr>
                <w:rFonts w:hint="default"/>
                <w:color w:val="auto"/>
                <w:kern w:val="0"/>
                <w:szCs w:val="21"/>
                <w:highlight w:val="none"/>
              </w:rPr>
              <w:t>是</w:t>
            </w:r>
          </w:p>
        </w:tc>
      </w:tr>
      <w:tr w14:paraId="13818977">
        <w:tblPrEx>
          <w:tblCellMar>
            <w:top w:w="0" w:type="dxa"/>
            <w:left w:w="108" w:type="dxa"/>
            <w:bottom w:w="0" w:type="dxa"/>
            <w:right w:w="108" w:type="dxa"/>
          </w:tblCellMar>
        </w:tblPrEx>
        <w:trPr>
          <w:trHeight w:val="283" w:hRule="atLeast"/>
          <w:jc w:val="center"/>
        </w:trPr>
        <w:tc>
          <w:tcPr>
            <w:tcW w:w="794" w:type="dxa"/>
            <w:tcBorders>
              <w:top w:val="nil"/>
              <w:left w:val="single" w:color="000000" w:sz="8" w:space="0"/>
              <w:bottom w:val="single" w:color="000000" w:sz="8" w:space="0"/>
              <w:right w:val="single" w:color="000000" w:sz="8" w:space="0"/>
            </w:tcBorders>
            <w:noWrap w:val="0"/>
            <w:vAlign w:val="center"/>
          </w:tcPr>
          <w:p w14:paraId="7CEC37B8">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(6)</w:t>
            </w:r>
          </w:p>
        </w:tc>
        <w:tc>
          <w:tcPr>
            <w:tcW w:w="4426" w:type="dxa"/>
            <w:tcBorders>
              <w:top w:val="nil"/>
              <w:left w:val="nil"/>
              <w:bottom w:val="single" w:color="000000" w:sz="8" w:space="0"/>
              <w:right w:val="single" w:color="000000" w:sz="8" w:space="0"/>
            </w:tcBorders>
            <w:noWrap w:val="0"/>
            <w:vAlign w:val="center"/>
          </w:tcPr>
          <w:p w14:paraId="119C066B">
            <w:pPr>
              <w:widowControl/>
              <w:jc w:val="center"/>
              <w:textAlignment w:val="center"/>
              <w:rPr>
                <w:rFonts w:hint="default" w:eastAsia="宋体"/>
                <w:color w:val="auto"/>
                <w:kern w:val="0"/>
                <w:sz w:val="21"/>
                <w:szCs w:val="21"/>
                <w:highlight w:val="none"/>
                <w:lang w:bidi="ar"/>
              </w:rPr>
            </w:pPr>
            <w:r>
              <w:rPr>
                <w:rFonts w:eastAsia="宋体"/>
                <w:color w:val="auto"/>
                <w:kern w:val="0"/>
                <w:sz w:val="21"/>
                <w:szCs w:val="21"/>
                <w:highlight w:val="none"/>
                <w:lang w:bidi="ar"/>
              </w:rPr>
              <w:t>项目</w:t>
            </w:r>
            <w:r>
              <w:rPr>
                <w:rFonts w:hint="default" w:eastAsia="宋体"/>
                <w:color w:val="auto"/>
                <w:kern w:val="0"/>
                <w:sz w:val="21"/>
                <w:szCs w:val="21"/>
                <w:highlight w:val="none"/>
                <w:lang w:bidi="ar"/>
              </w:rPr>
              <w:t>是否提升</w:t>
            </w:r>
            <w:r>
              <w:rPr>
                <w:rFonts w:eastAsia="宋体"/>
                <w:color w:val="auto"/>
                <w:kern w:val="0"/>
                <w:sz w:val="21"/>
                <w:szCs w:val="21"/>
                <w:highlight w:val="none"/>
                <w:lang w:bidi="ar"/>
              </w:rPr>
              <w:t>当地形象影响</w:t>
            </w:r>
          </w:p>
        </w:tc>
        <w:tc>
          <w:tcPr>
            <w:tcW w:w="1165" w:type="dxa"/>
            <w:tcBorders>
              <w:top w:val="nil"/>
              <w:left w:val="single" w:color="000000" w:sz="8" w:space="0"/>
              <w:bottom w:val="single" w:color="000000" w:sz="8" w:space="0"/>
              <w:right w:val="single" w:color="000000" w:sz="8" w:space="0"/>
            </w:tcBorders>
            <w:noWrap w:val="0"/>
            <w:vAlign w:val="center"/>
          </w:tcPr>
          <w:p w14:paraId="05488528">
            <w:pPr>
              <w:widowControl/>
              <w:jc w:val="center"/>
              <w:textAlignment w:val="center"/>
              <w:rPr>
                <w:rFonts w:eastAsia="宋体"/>
                <w:color w:val="auto"/>
                <w:kern w:val="0"/>
                <w:sz w:val="21"/>
                <w:szCs w:val="21"/>
                <w:highlight w:val="none"/>
                <w:lang w:bidi="ar"/>
              </w:rPr>
            </w:pPr>
            <w:r>
              <w:rPr>
                <w:rFonts w:hint="default" w:eastAsia="宋体"/>
                <w:color w:val="auto"/>
                <w:kern w:val="0"/>
                <w:sz w:val="21"/>
                <w:szCs w:val="21"/>
                <w:highlight w:val="none"/>
                <w:lang w:bidi="ar"/>
              </w:rPr>
              <w:t>是/否</w:t>
            </w:r>
          </w:p>
        </w:tc>
        <w:tc>
          <w:tcPr>
            <w:tcW w:w="1544" w:type="dxa"/>
            <w:tcBorders>
              <w:top w:val="nil"/>
              <w:left w:val="nil"/>
              <w:bottom w:val="single" w:color="000000" w:sz="8" w:space="0"/>
              <w:right w:val="single" w:color="000000" w:sz="8" w:space="0"/>
            </w:tcBorders>
            <w:shd w:val="clear" w:color="auto" w:fill="auto"/>
            <w:noWrap w:val="0"/>
            <w:vAlign w:val="center"/>
          </w:tcPr>
          <w:p w14:paraId="542948A1">
            <w:pPr>
              <w:jc w:val="center"/>
              <w:rPr>
                <w:rFonts w:hint="default"/>
                <w:color w:val="auto"/>
                <w:kern w:val="0"/>
                <w:szCs w:val="21"/>
                <w:highlight w:val="none"/>
                <w:lang w:val="en-US" w:eastAsia="zh-CN"/>
              </w:rPr>
            </w:pPr>
            <w:r>
              <w:rPr>
                <w:rFonts w:hint="default"/>
                <w:color w:val="auto"/>
                <w:kern w:val="0"/>
                <w:szCs w:val="21"/>
                <w:highlight w:val="none"/>
              </w:rPr>
              <w:t>是</w:t>
            </w:r>
          </w:p>
        </w:tc>
        <w:tc>
          <w:tcPr>
            <w:tcW w:w="1276" w:type="dxa"/>
            <w:tcBorders>
              <w:top w:val="nil"/>
              <w:left w:val="single" w:color="000000" w:sz="8" w:space="0"/>
              <w:bottom w:val="single" w:color="000000" w:sz="8" w:space="0"/>
              <w:right w:val="single" w:color="000000" w:sz="8" w:space="0"/>
            </w:tcBorders>
            <w:shd w:val="clear" w:color="auto" w:fill="auto"/>
            <w:noWrap w:val="0"/>
            <w:vAlign w:val="center"/>
          </w:tcPr>
          <w:p w14:paraId="2E60E4A5">
            <w:pPr>
              <w:jc w:val="center"/>
              <w:rPr>
                <w:rFonts w:hint="default"/>
                <w:color w:val="auto"/>
                <w:kern w:val="0"/>
                <w:szCs w:val="21"/>
                <w:highlight w:val="none"/>
                <w:lang w:val="en-US" w:eastAsia="zh-CN"/>
              </w:rPr>
            </w:pPr>
            <w:r>
              <w:rPr>
                <w:rFonts w:hint="default"/>
                <w:color w:val="auto"/>
                <w:kern w:val="0"/>
                <w:szCs w:val="21"/>
                <w:highlight w:val="none"/>
              </w:rPr>
              <w:t>是</w:t>
            </w:r>
          </w:p>
        </w:tc>
      </w:tr>
    </w:tbl>
    <w:p w14:paraId="731B5086">
      <w:pPr>
        <w:jc w:val="left"/>
        <w:rPr>
          <w:rFonts w:eastAsia="仿宋_GB2312"/>
          <w:color w:val="auto"/>
          <w:szCs w:val="32"/>
          <w:highlight w:val="none"/>
        </w:rPr>
        <w:sectPr>
          <w:footerReference r:id="rId7" w:type="default"/>
          <w:footerReference r:id="rId8" w:type="even"/>
          <w:pgSz w:w="11900" w:h="16840"/>
          <w:pgMar w:top="1871" w:right="1531" w:bottom="1531" w:left="1588" w:header="851" w:footer="1304" w:gutter="0"/>
          <w:pgNumType w:start="1"/>
          <w:cols w:space="720" w:num="1"/>
        </w:sectPr>
      </w:pPr>
    </w:p>
    <w:p w14:paraId="580FB92E">
      <w:pPr>
        <w:keepNext w:val="0"/>
        <w:keepLines w:val="0"/>
        <w:pageBreakBefore w:val="0"/>
        <w:widowControl w:val="0"/>
        <w:kinsoku/>
        <w:wordWrap/>
        <w:overflowPunct/>
        <w:topLinePunct w:val="0"/>
        <w:autoSpaceDE/>
        <w:autoSpaceDN/>
        <w:bidi w:val="0"/>
        <w:adjustRightInd/>
        <w:snapToGrid/>
        <w:spacing w:line="596" w:lineRule="exact"/>
        <w:textAlignment w:val="auto"/>
        <w:outlineLvl w:val="1"/>
        <w:rPr>
          <w:rFonts w:hint="eastAsia" w:eastAsia="仿宋_GB2312"/>
          <w:color w:val="auto"/>
          <w:w w:val="98"/>
          <w:sz w:val="32"/>
          <w:szCs w:val="32"/>
          <w:highlight w:val="none"/>
          <w:lang w:eastAsia="zh-CN"/>
        </w:rPr>
      </w:pPr>
      <w:bookmarkStart w:id="125" w:name="_Toc24189"/>
      <w:bookmarkStart w:id="126" w:name="_Toc17319"/>
      <w:r>
        <w:rPr>
          <w:rFonts w:ascii="仿宋_GB2312" w:hAnsi="仿宋_GB2312" w:eastAsia="仿宋_GB2312" w:cs="仿宋_GB2312"/>
          <w:color w:val="auto"/>
          <w:w w:val="98"/>
          <w:sz w:val="32"/>
          <w:szCs w:val="32"/>
          <w:highlight w:val="none"/>
        </w:rPr>
        <w:t>附件</w:t>
      </w:r>
      <w:r>
        <w:rPr>
          <w:rFonts w:hint="eastAsia" w:ascii="仿宋_GB2312" w:hAnsi="仿宋_GB2312" w:eastAsia="仿宋_GB2312" w:cs="仿宋_GB2312"/>
          <w:color w:val="auto"/>
          <w:w w:val="98"/>
          <w:sz w:val="32"/>
          <w:szCs w:val="32"/>
          <w:highlight w:val="none"/>
          <w:lang w:val="en-US" w:eastAsia="zh-CN"/>
        </w:rPr>
        <w:t>2</w:t>
      </w:r>
      <w:bookmarkEnd w:id="125"/>
    </w:p>
    <w:p w14:paraId="3117BE8F">
      <w:pPr>
        <w:widowControl/>
        <w:spacing w:line="600" w:lineRule="exact"/>
        <w:jc w:val="center"/>
        <w:rPr>
          <w:rFonts w:ascii="Times New Roman" w:hAnsi="Times New Roman" w:eastAsia="方正小标宋_GBK"/>
          <w:color w:val="auto"/>
          <w:sz w:val="36"/>
          <w:szCs w:val="36"/>
          <w:highlight w:val="none"/>
        </w:rPr>
      </w:pPr>
      <w:r>
        <w:rPr>
          <w:rFonts w:hint="eastAsia" w:ascii="Times New Roman" w:hAnsi="Times New Roman" w:eastAsia="方正小标宋_GBK"/>
          <w:color w:val="auto"/>
          <w:sz w:val="36"/>
          <w:szCs w:val="36"/>
          <w:highlight w:val="none"/>
          <w:lang w:eastAsia="zh-CN"/>
        </w:rPr>
        <w:t>202</w:t>
      </w:r>
      <w:r>
        <w:rPr>
          <w:rFonts w:hint="eastAsia" w:ascii="Times New Roman" w:hAnsi="Times New Roman" w:eastAsia="方正小标宋_GBK"/>
          <w:color w:val="auto"/>
          <w:sz w:val="36"/>
          <w:szCs w:val="36"/>
          <w:highlight w:val="none"/>
          <w:lang w:val="en-US" w:eastAsia="zh-CN"/>
        </w:rPr>
        <w:t>4</w:t>
      </w:r>
      <w:r>
        <w:rPr>
          <w:rFonts w:hint="eastAsia" w:ascii="Times New Roman" w:hAnsi="Times New Roman" w:eastAsia="方正小标宋_GBK"/>
          <w:color w:val="auto"/>
          <w:sz w:val="36"/>
          <w:szCs w:val="36"/>
          <w:highlight w:val="none"/>
          <w:lang w:eastAsia="zh-CN"/>
        </w:rPr>
        <w:t>年度</w:t>
      </w:r>
      <w:r>
        <w:rPr>
          <w:rFonts w:hint="eastAsia" w:ascii="Times New Roman" w:hAnsi="Times New Roman" w:eastAsia="方正小标宋_GBK"/>
          <w:color w:val="auto"/>
          <w:sz w:val="36"/>
          <w:szCs w:val="36"/>
          <w:highlight w:val="none"/>
        </w:rPr>
        <w:t>预算内基本建设投资省级专项资金</w:t>
      </w:r>
      <w:r>
        <w:rPr>
          <w:rFonts w:ascii="Times New Roman" w:hAnsi="Times New Roman" w:eastAsia="方正小标宋_GBK"/>
          <w:color w:val="auto"/>
          <w:sz w:val="36"/>
          <w:szCs w:val="36"/>
          <w:highlight w:val="none"/>
        </w:rPr>
        <w:t>绩效自评表</w:t>
      </w:r>
    </w:p>
    <w:tbl>
      <w:tblPr>
        <w:tblStyle w:val="20"/>
        <w:tblW w:w="14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549"/>
        <w:gridCol w:w="1534"/>
        <w:gridCol w:w="2804"/>
        <w:gridCol w:w="1675"/>
        <w:gridCol w:w="2193"/>
        <w:gridCol w:w="832"/>
        <w:gridCol w:w="955"/>
        <w:gridCol w:w="1681"/>
      </w:tblGrid>
      <w:tr w14:paraId="6EFE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noWrap w:val="0"/>
            <w:vAlign w:val="center"/>
          </w:tcPr>
          <w:p w14:paraId="1264F1B3">
            <w:pPr>
              <w:widowControl/>
              <w:spacing w:line="260" w:lineRule="exact"/>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项目支</w:t>
            </w:r>
          </w:p>
          <w:p w14:paraId="0B3C58CD">
            <w:pPr>
              <w:widowControl/>
              <w:spacing w:line="260" w:lineRule="exact"/>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出名称</w:t>
            </w:r>
          </w:p>
        </w:tc>
        <w:tc>
          <w:tcPr>
            <w:tcW w:w="13223" w:type="dxa"/>
            <w:gridSpan w:val="8"/>
            <w:noWrap w:val="0"/>
            <w:vAlign w:val="center"/>
          </w:tcPr>
          <w:p w14:paraId="22ACB8FA">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预算内基本建设投资省级专项资金</w:t>
            </w:r>
          </w:p>
        </w:tc>
      </w:tr>
      <w:tr w14:paraId="4E5E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noWrap w:val="0"/>
            <w:vAlign w:val="center"/>
          </w:tcPr>
          <w:p w14:paraId="666D352D">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主管部门</w:t>
            </w:r>
          </w:p>
        </w:tc>
        <w:tc>
          <w:tcPr>
            <w:tcW w:w="7562" w:type="dxa"/>
            <w:gridSpan w:val="4"/>
            <w:noWrap w:val="0"/>
            <w:vAlign w:val="center"/>
          </w:tcPr>
          <w:p w14:paraId="30E8D99C">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湖南省发展和改革委员会</w:t>
            </w:r>
          </w:p>
        </w:tc>
        <w:tc>
          <w:tcPr>
            <w:tcW w:w="2193" w:type="dxa"/>
            <w:noWrap w:val="0"/>
            <w:vAlign w:val="center"/>
          </w:tcPr>
          <w:p w14:paraId="741C9607">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实施单位</w:t>
            </w:r>
          </w:p>
        </w:tc>
        <w:tc>
          <w:tcPr>
            <w:tcW w:w="3468" w:type="dxa"/>
            <w:gridSpan w:val="3"/>
            <w:noWrap w:val="0"/>
            <w:vAlign w:val="center"/>
          </w:tcPr>
          <w:p w14:paraId="480E244E">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相关项目实施单位</w:t>
            </w:r>
          </w:p>
        </w:tc>
      </w:tr>
      <w:tr w14:paraId="064F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noWrap w:val="0"/>
            <w:vAlign w:val="center"/>
          </w:tcPr>
          <w:p w14:paraId="550B9AD0">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项目资金</w:t>
            </w:r>
            <w:r>
              <w:rPr>
                <w:rFonts w:hint="default" w:ascii="Times New Roman" w:hAnsi="Times New Roman" w:eastAsia="仿宋" w:cs="Times New Roman"/>
                <w:color w:val="auto"/>
                <w:sz w:val="20"/>
                <w:szCs w:val="20"/>
                <w:highlight w:val="none"/>
              </w:rPr>
              <w:br w:type="textWrapping"/>
            </w:r>
            <w:r>
              <w:rPr>
                <w:rFonts w:hint="default" w:ascii="Times New Roman" w:hAnsi="Times New Roman" w:eastAsia="仿宋" w:cs="Times New Roman"/>
                <w:color w:val="auto"/>
                <w:sz w:val="20"/>
                <w:szCs w:val="20"/>
                <w:highlight w:val="none"/>
              </w:rPr>
              <w:t>（万元）</w:t>
            </w:r>
          </w:p>
        </w:tc>
        <w:tc>
          <w:tcPr>
            <w:tcW w:w="3083" w:type="dxa"/>
            <w:gridSpan w:val="2"/>
            <w:noWrap w:val="0"/>
            <w:vAlign w:val="center"/>
          </w:tcPr>
          <w:p w14:paraId="3232DDF6">
            <w:pPr>
              <w:widowControl/>
              <w:jc w:val="left"/>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　</w:t>
            </w:r>
          </w:p>
        </w:tc>
        <w:tc>
          <w:tcPr>
            <w:tcW w:w="2804" w:type="dxa"/>
            <w:noWrap w:val="0"/>
            <w:vAlign w:val="center"/>
          </w:tcPr>
          <w:p w14:paraId="48281F4C">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年初</w:t>
            </w:r>
          </w:p>
          <w:p w14:paraId="546CEAAF">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预算数</w:t>
            </w:r>
          </w:p>
        </w:tc>
        <w:tc>
          <w:tcPr>
            <w:tcW w:w="1675" w:type="dxa"/>
            <w:noWrap w:val="0"/>
            <w:vAlign w:val="center"/>
          </w:tcPr>
          <w:p w14:paraId="457E1234">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全年</w:t>
            </w:r>
          </w:p>
          <w:p w14:paraId="5B408DBC">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预算数</w:t>
            </w:r>
          </w:p>
        </w:tc>
        <w:tc>
          <w:tcPr>
            <w:tcW w:w="2193" w:type="dxa"/>
            <w:noWrap w:val="0"/>
            <w:vAlign w:val="center"/>
          </w:tcPr>
          <w:p w14:paraId="4761E552">
            <w:pPr>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全年</w:t>
            </w:r>
          </w:p>
          <w:p w14:paraId="2AC7E0E9">
            <w:pPr>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执行数</w:t>
            </w:r>
          </w:p>
        </w:tc>
        <w:tc>
          <w:tcPr>
            <w:tcW w:w="832" w:type="dxa"/>
            <w:noWrap w:val="0"/>
            <w:vAlign w:val="center"/>
          </w:tcPr>
          <w:p w14:paraId="38FC6954">
            <w:pPr>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分值</w:t>
            </w:r>
          </w:p>
        </w:tc>
        <w:tc>
          <w:tcPr>
            <w:tcW w:w="955" w:type="dxa"/>
            <w:noWrap w:val="0"/>
            <w:vAlign w:val="center"/>
          </w:tcPr>
          <w:p w14:paraId="3584D45A">
            <w:pPr>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执行率</w:t>
            </w:r>
          </w:p>
        </w:tc>
        <w:tc>
          <w:tcPr>
            <w:tcW w:w="1681" w:type="dxa"/>
            <w:noWrap w:val="0"/>
            <w:vAlign w:val="center"/>
          </w:tcPr>
          <w:p w14:paraId="01574E7A">
            <w:pPr>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得分</w:t>
            </w:r>
          </w:p>
        </w:tc>
      </w:tr>
      <w:tr w14:paraId="631B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noWrap w:val="0"/>
            <w:vAlign w:val="center"/>
          </w:tcPr>
          <w:p w14:paraId="13C28256">
            <w:pPr>
              <w:widowControl/>
              <w:jc w:val="left"/>
              <w:rPr>
                <w:rFonts w:hint="default" w:ascii="Times New Roman" w:hAnsi="Times New Roman" w:eastAsia="仿宋" w:cs="Times New Roman"/>
                <w:color w:val="auto"/>
                <w:sz w:val="20"/>
                <w:szCs w:val="20"/>
                <w:highlight w:val="none"/>
              </w:rPr>
            </w:pPr>
          </w:p>
        </w:tc>
        <w:tc>
          <w:tcPr>
            <w:tcW w:w="3083" w:type="dxa"/>
            <w:gridSpan w:val="2"/>
            <w:noWrap w:val="0"/>
            <w:vAlign w:val="center"/>
          </w:tcPr>
          <w:p w14:paraId="5BD81BD7">
            <w:pPr>
              <w:widowControl/>
              <w:jc w:val="left"/>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年度资金总额　</w:t>
            </w:r>
          </w:p>
        </w:tc>
        <w:tc>
          <w:tcPr>
            <w:tcW w:w="2804" w:type="dxa"/>
            <w:shd w:val="clear" w:color="auto" w:fill="auto"/>
            <w:noWrap w:val="0"/>
            <w:vAlign w:val="center"/>
          </w:tcPr>
          <w:p w14:paraId="728C0488">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kern w:val="2"/>
                <w:sz w:val="20"/>
                <w:szCs w:val="20"/>
                <w:highlight w:val="none"/>
                <w:lang w:val="en-US" w:eastAsia="zh-CN" w:bidi="ar-SA"/>
              </w:rPr>
              <w:t>225,451.00</w:t>
            </w:r>
          </w:p>
        </w:tc>
        <w:tc>
          <w:tcPr>
            <w:tcW w:w="1675" w:type="dxa"/>
            <w:shd w:val="clear" w:color="auto" w:fill="auto"/>
            <w:noWrap w:val="0"/>
            <w:vAlign w:val="center"/>
          </w:tcPr>
          <w:p w14:paraId="4E98356D">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kern w:val="2"/>
                <w:sz w:val="20"/>
                <w:szCs w:val="20"/>
                <w:highlight w:val="none"/>
                <w:lang w:val="en-US" w:eastAsia="zh-CN" w:bidi="ar-SA"/>
              </w:rPr>
              <w:t>225,451.00</w:t>
            </w:r>
          </w:p>
        </w:tc>
        <w:tc>
          <w:tcPr>
            <w:tcW w:w="2193" w:type="dxa"/>
            <w:shd w:val="clear" w:color="auto" w:fill="auto"/>
            <w:noWrap w:val="0"/>
            <w:vAlign w:val="center"/>
          </w:tcPr>
          <w:p w14:paraId="7ACA8E00">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146,074.52</w:t>
            </w:r>
          </w:p>
        </w:tc>
        <w:tc>
          <w:tcPr>
            <w:tcW w:w="832" w:type="dxa"/>
            <w:shd w:val="clear" w:color="auto" w:fill="auto"/>
            <w:noWrap w:val="0"/>
            <w:vAlign w:val="center"/>
          </w:tcPr>
          <w:p w14:paraId="6F8999FC">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10</w:t>
            </w:r>
          </w:p>
        </w:tc>
        <w:tc>
          <w:tcPr>
            <w:tcW w:w="955" w:type="dxa"/>
            <w:shd w:val="clear" w:color="auto" w:fill="auto"/>
            <w:noWrap w:val="0"/>
            <w:vAlign w:val="center"/>
          </w:tcPr>
          <w:p w14:paraId="4287BB3F">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64.79</w:t>
            </w:r>
            <w:r>
              <w:rPr>
                <w:rFonts w:hint="default" w:ascii="Times New Roman" w:hAnsi="Times New Roman" w:eastAsia="仿宋" w:cs="Times New Roman"/>
                <w:color w:val="auto"/>
                <w:sz w:val="20"/>
                <w:szCs w:val="20"/>
                <w:highlight w:val="none"/>
              </w:rPr>
              <w:t>%</w:t>
            </w:r>
          </w:p>
        </w:tc>
        <w:tc>
          <w:tcPr>
            <w:tcW w:w="1681" w:type="dxa"/>
            <w:shd w:val="clear" w:color="auto" w:fill="auto"/>
            <w:noWrap w:val="0"/>
            <w:vAlign w:val="center"/>
          </w:tcPr>
          <w:p w14:paraId="34869194">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6.48</w:t>
            </w:r>
          </w:p>
        </w:tc>
      </w:tr>
      <w:tr w14:paraId="7B9B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vMerge w:val="continue"/>
            <w:noWrap w:val="0"/>
            <w:vAlign w:val="center"/>
          </w:tcPr>
          <w:p w14:paraId="7DBBF3FF">
            <w:pPr>
              <w:widowControl/>
              <w:jc w:val="left"/>
              <w:rPr>
                <w:rFonts w:hint="default" w:ascii="Times New Roman" w:hAnsi="Times New Roman" w:eastAsia="仿宋" w:cs="Times New Roman"/>
                <w:color w:val="auto"/>
                <w:sz w:val="20"/>
                <w:szCs w:val="20"/>
                <w:highlight w:val="none"/>
              </w:rPr>
            </w:pPr>
          </w:p>
        </w:tc>
        <w:tc>
          <w:tcPr>
            <w:tcW w:w="3083" w:type="dxa"/>
            <w:gridSpan w:val="2"/>
            <w:noWrap w:val="0"/>
            <w:vAlign w:val="center"/>
          </w:tcPr>
          <w:p w14:paraId="3A4648E7">
            <w:pPr>
              <w:widowControl/>
              <w:jc w:val="left"/>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其中：当年财政拨款　</w:t>
            </w:r>
          </w:p>
        </w:tc>
        <w:tc>
          <w:tcPr>
            <w:tcW w:w="2804" w:type="dxa"/>
            <w:shd w:val="clear" w:color="auto" w:fill="auto"/>
            <w:noWrap w:val="0"/>
            <w:vAlign w:val="center"/>
          </w:tcPr>
          <w:p w14:paraId="71B6FBDF">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kern w:val="2"/>
                <w:sz w:val="20"/>
                <w:szCs w:val="20"/>
                <w:highlight w:val="none"/>
                <w:lang w:val="en-US" w:eastAsia="zh-CN" w:bidi="ar-SA"/>
              </w:rPr>
              <w:t>225,451.00</w:t>
            </w:r>
          </w:p>
        </w:tc>
        <w:tc>
          <w:tcPr>
            <w:tcW w:w="1675" w:type="dxa"/>
            <w:shd w:val="clear" w:color="auto" w:fill="auto"/>
            <w:noWrap w:val="0"/>
            <w:vAlign w:val="center"/>
          </w:tcPr>
          <w:p w14:paraId="623E109B">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kern w:val="2"/>
                <w:sz w:val="20"/>
                <w:szCs w:val="20"/>
                <w:highlight w:val="none"/>
                <w:lang w:val="en-US" w:eastAsia="zh-CN" w:bidi="ar-SA"/>
              </w:rPr>
              <w:t>225,451.00</w:t>
            </w:r>
          </w:p>
        </w:tc>
        <w:tc>
          <w:tcPr>
            <w:tcW w:w="2193" w:type="dxa"/>
            <w:shd w:val="clear" w:color="auto" w:fill="auto"/>
            <w:noWrap w:val="0"/>
            <w:vAlign w:val="center"/>
          </w:tcPr>
          <w:p w14:paraId="0A69EF5F">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146,074.52</w:t>
            </w:r>
          </w:p>
        </w:tc>
        <w:tc>
          <w:tcPr>
            <w:tcW w:w="832" w:type="dxa"/>
            <w:shd w:val="clear" w:color="auto" w:fill="auto"/>
            <w:noWrap w:val="0"/>
            <w:vAlign w:val="center"/>
          </w:tcPr>
          <w:p w14:paraId="1CD5C51C">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lang w:val="en-US" w:eastAsia="zh-CN"/>
              </w:rPr>
              <w:t>-</w:t>
            </w:r>
          </w:p>
        </w:tc>
        <w:tc>
          <w:tcPr>
            <w:tcW w:w="955" w:type="dxa"/>
            <w:shd w:val="clear" w:color="auto" w:fill="auto"/>
            <w:noWrap w:val="0"/>
            <w:vAlign w:val="center"/>
          </w:tcPr>
          <w:p w14:paraId="72C56E45">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64.79</w:t>
            </w:r>
            <w:r>
              <w:rPr>
                <w:rFonts w:hint="default" w:ascii="Times New Roman" w:hAnsi="Times New Roman" w:eastAsia="仿宋" w:cs="Times New Roman"/>
                <w:color w:val="auto"/>
                <w:sz w:val="20"/>
                <w:szCs w:val="20"/>
                <w:highlight w:val="none"/>
              </w:rPr>
              <w:t>%</w:t>
            </w:r>
          </w:p>
        </w:tc>
        <w:tc>
          <w:tcPr>
            <w:tcW w:w="1681" w:type="dxa"/>
            <w:shd w:val="clear" w:color="auto" w:fill="auto"/>
            <w:noWrap w:val="0"/>
            <w:vAlign w:val="center"/>
          </w:tcPr>
          <w:p w14:paraId="3EA02896">
            <w:pPr>
              <w:widowControl/>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lang w:val="en-US" w:eastAsia="zh-CN"/>
              </w:rPr>
              <w:t>-</w:t>
            </w:r>
          </w:p>
        </w:tc>
      </w:tr>
      <w:tr w14:paraId="11AE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noWrap w:val="0"/>
            <w:vAlign w:val="center"/>
          </w:tcPr>
          <w:p w14:paraId="3109CD86">
            <w:pPr>
              <w:widowControl/>
              <w:jc w:val="left"/>
              <w:rPr>
                <w:rFonts w:hint="default" w:ascii="Times New Roman" w:hAnsi="Times New Roman" w:eastAsia="仿宋" w:cs="Times New Roman"/>
                <w:color w:val="auto"/>
                <w:sz w:val="20"/>
                <w:szCs w:val="20"/>
                <w:highlight w:val="none"/>
              </w:rPr>
            </w:pPr>
          </w:p>
        </w:tc>
        <w:tc>
          <w:tcPr>
            <w:tcW w:w="3083" w:type="dxa"/>
            <w:gridSpan w:val="2"/>
            <w:noWrap w:val="0"/>
            <w:vAlign w:val="center"/>
          </w:tcPr>
          <w:p w14:paraId="71C07349">
            <w:pPr>
              <w:widowControl/>
              <w:ind w:firstLine="600" w:firstLineChars="300"/>
              <w:jc w:val="left"/>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上年结转资金　</w:t>
            </w:r>
          </w:p>
        </w:tc>
        <w:tc>
          <w:tcPr>
            <w:tcW w:w="2804" w:type="dxa"/>
            <w:noWrap w:val="0"/>
            <w:vAlign w:val="center"/>
          </w:tcPr>
          <w:p w14:paraId="55007AE2">
            <w:pPr>
              <w:widowControl/>
              <w:jc w:val="left"/>
              <w:rPr>
                <w:rFonts w:hint="default" w:ascii="Times New Roman" w:hAnsi="Times New Roman" w:eastAsia="仿宋" w:cs="Times New Roman"/>
                <w:color w:val="auto"/>
                <w:sz w:val="20"/>
                <w:szCs w:val="20"/>
                <w:highlight w:val="none"/>
              </w:rPr>
            </w:pPr>
          </w:p>
        </w:tc>
        <w:tc>
          <w:tcPr>
            <w:tcW w:w="1675" w:type="dxa"/>
            <w:noWrap w:val="0"/>
            <w:vAlign w:val="center"/>
          </w:tcPr>
          <w:p w14:paraId="3DD3D75B">
            <w:pPr>
              <w:widowControl/>
              <w:jc w:val="left"/>
              <w:rPr>
                <w:rFonts w:hint="default" w:ascii="Times New Roman" w:hAnsi="Times New Roman" w:eastAsia="仿宋" w:cs="Times New Roman"/>
                <w:color w:val="auto"/>
                <w:sz w:val="20"/>
                <w:szCs w:val="20"/>
                <w:highlight w:val="none"/>
              </w:rPr>
            </w:pPr>
          </w:p>
        </w:tc>
        <w:tc>
          <w:tcPr>
            <w:tcW w:w="2193" w:type="dxa"/>
            <w:noWrap w:val="0"/>
            <w:vAlign w:val="center"/>
          </w:tcPr>
          <w:p w14:paraId="0E84366D">
            <w:pPr>
              <w:widowControl/>
              <w:jc w:val="left"/>
              <w:rPr>
                <w:rFonts w:hint="default" w:ascii="Times New Roman" w:hAnsi="Times New Roman" w:eastAsia="仿宋" w:cs="Times New Roman"/>
                <w:color w:val="auto"/>
                <w:sz w:val="20"/>
                <w:szCs w:val="20"/>
                <w:highlight w:val="none"/>
              </w:rPr>
            </w:pPr>
          </w:p>
        </w:tc>
        <w:tc>
          <w:tcPr>
            <w:tcW w:w="832" w:type="dxa"/>
            <w:noWrap w:val="0"/>
            <w:vAlign w:val="center"/>
          </w:tcPr>
          <w:p w14:paraId="59E05828">
            <w:pPr>
              <w:widowControl/>
              <w:jc w:val="left"/>
              <w:rPr>
                <w:rFonts w:hint="default" w:ascii="Times New Roman" w:hAnsi="Times New Roman" w:eastAsia="仿宋" w:cs="Times New Roman"/>
                <w:color w:val="auto"/>
                <w:sz w:val="20"/>
                <w:szCs w:val="20"/>
                <w:highlight w:val="none"/>
              </w:rPr>
            </w:pPr>
          </w:p>
        </w:tc>
        <w:tc>
          <w:tcPr>
            <w:tcW w:w="955" w:type="dxa"/>
            <w:noWrap w:val="0"/>
            <w:vAlign w:val="center"/>
          </w:tcPr>
          <w:p w14:paraId="78EFC68F">
            <w:pPr>
              <w:widowControl/>
              <w:jc w:val="left"/>
              <w:rPr>
                <w:rFonts w:hint="default" w:ascii="Times New Roman" w:hAnsi="Times New Roman" w:eastAsia="仿宋" w:cs="Times New Roman"/>
                <w:color w:val="auto"/>
                <w:sz w:val="20"/>
                <w:szCs w:val="20"/>
                <w:highlight w:val="none"/>
              </w:rPr>
            </w:pPr>
          </w:p>
        </w:tc>
        <w:tc>
          <w:tcPr>
            <w:tcW w:w="1681" w:type="dxa"/>
            <w:noWrap w:val="0"/>
            <w:vAlign w:val="center"/>
          </w:tcPr>
          <w:p w14:paraId="0C0E15D6">
            <w:pPr>
              <w:widowControl/>
              <w:jc w:val="left"/>
              <w:rPr>
                <w:rFonts w:hint="default" w:ascii="Times New Roman" w:hAnsi="Times New Roman" w:eastAsia="仿宋" w:cs="Times New Roman"/>
                <w:color w:val="auto"/>
                <w:sz w:val="20"/>
                <w:szCs w:val="20"/>
                <w:highlight w:val="none"/>
              </w:rPr>
            </w:pPr>
          </w:p>
        </w:tc>
      </w:tr>
      <w:tr w14:paraId="4DDF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noWrap w:val="0"/>
            <w:vAlign w:val="center"/>
          </w:tcPr>
          <w:p w14:paraId="3D4C179A">
            <w:pPr>
              <w:widowControl/>
              <w:jc w:val="left"/>
              <w:rPr>
                <w:rFonts w:hint="default" w:ascii="Times New Roman" w:hAnsi="Times New Roman" w:eastAsia="仿宋" w:cs="Times New Roman"/>
                <w:color w:val="auto"/>
                <w:sz w:val="20"/>
                <w:szCs w:val="20"/>
                <w:highlight w:val="none"/>
              </w:rPr>
            </w:pPr>
          </w:p>
        </w:tc>
        <w:tc>
          <w:tcPr>
            <w:tcW w:w="3083" w:type="dxa"/>
            <w:gridSpan w:val="2"/>
            <w:noWrap w:val="0"/>
            <w:vAlign w:val="center"/>
          </w:tcPr>
          <w:p w14:paraId="3CAC2DC6">
            <w:pPr>
              <w:widowControl/>
              <w:ind w:firstLine="600" w:firstLineChars="300"/>
              <w:jc w:val="left"/>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其他资金</w:t>
            </w:r>
          </w:p>
        </w:tc>
        <w:tc>
          <w:tcPr>
            <w:tcW w:w="2804" w:type="dxa"/>
            <w:noWrap w:val="0"/>
            <w:vAlign w:val="center"/>
          </w:tcPr>
          <w:p w14:paraId="47F709FA">
            <w:pPr>
              <w:widowControl/>
              <w:jc w:val="left"/>
              <w:rPr>
                <w:rFonts w:hint="default" w:ascii="Times New Roman" w:hAnsi="Times New Roman" w:eastAsia="仿宋" w:cs="Times New Roman"/>
                <w:color w:val="auto"/>
                <w:sz w:val="20"/>
                <w:szCs w:val="20"/>
                <w:highlight w:val="none"/>
              </w:rPr>
            </w:pPr>
          </w:p>
        </w:tc>
        <w:tc>
          <w:tcPr>
            <w:tcW w:w="1675" w:type="dxa"/>
            <w:noWrap w:val="0"/>
            <w:vAlign w:val="center"/>
          </w:tcPr>
          <w:p w14:paraId="04C4541B">
            <w:pPr>
              <w:widowControl/>
              <w:jc w:val="left"/>
              <w:rPr>
                <w:rFonts w:hint="default" w:ascii="Times New Roman" w:hAnsi="Times New Roman" w:eastAsia="仿宋" w:cs="Times New Roman"/>
                <w:color w:val="auto"/>
                <w:sz w:val="20"/>
                <w:szCs w:val="20"/>
                <w:highlight w:val="none"/>
              </w:rPr>
            </w:pPr>
          </w:p>
        </w:tc>
        <w:tc>
          <w:tcPr>
            <w:tcW w:w="2193" w:type="dxa"/>
            <w:noWrap w:val="0"/>
            <w:vAlign w:val="center"/>
          </w:tcPr>
          <w:p w14:paraId="2371F0CA">
            <w:pPr>
              <w:widowControl/>
              <w:jc w:val="left"/>
              <w:rPr>
                <w:rFonts w:hint="default" w:ascii="Times New Roman" w:hAnsi="Times New Roman" w:eastAsia="仿宋" w:cs="Times New Roman"/>
                <w:color w:val="auto"/>
                <w:sz w:val="20"/>
                <w:szCs w:val="20"/>
                <w:highlight w:val="none"/>
              </w:rPr>
            </w:pPr>
          </w:p>
        </w:tc>
        <w:tc>
          <w:tcPr>
            <w:tcW w:w="832" w:type="dxa"/>
            <w:noWrap w:val="0"/>
            <w:vAlign w:val="center"/>
          </w:tcPr>
          <w:p w14:paraId="1C4A4C0C">
            <w:pPr>
              <w:widowControl/>
              <w:jc w:val="left"/>
              <w:rPr>
                <w:rFonts w:hint="default" w:ascii="Times New Roman" w:hAnsi="Times New Roman" w:eastAsia="仿宋" w:cs="Times New Roman"/>
                <w:color w:val="auto"/>
                <w:sz w:val="20"/>
                <w:szCs w:val="20"/>
                <w:highlight w:val="none"/>
              </w:rPr>
            </w:pPr>
          </w:p>
        </w:tc>
        <w:tc>
          <w:tcPr>
            <w:tcW w:w="955" w:type="dxa"/>
            <w:noWrap w:val="0"/>
            <w:vAlign w:val="center"/>
          </w:tcPr>
          <w:p w14:paraId="1B656EE5">
            <w:pPr>
              <w:widowControl/>
              <w:jc w:val="left"/>
              <w:rPr>
                <w:rFonts w:hint="default" w:ascii="Times New Roman" w:hAnsi="Times New Roman" w:eastAsia="仿宋" w:cs="Times New Roman"/>
                <w:color w:val="auto"/>
                <w:sz w:val="20"/>
                <w:szCs w:val="20"/>
                <w:highlight w:val="none"/>
              </w:rPr>
            </w:pPr>
          </w:p>
        </w:tc>
        <w:tc>
          <w:tcPr>
            <w:tcW w:w="1681" w:type="dxa"/>
            <w:noWrap w:val="0"/>
            <w:vAlign w:val="center"/>
          </w:tcPr>
          <w:p w14:paraId="6CC4C6B9">
            <w:pPr>
              <w:widowControl/>
              <w:jc w:val="left"/>
              <w:rPr>
                <w:rFonts w:hint="default" w:ascii="Times New Roman" w:hAnsi="Times New Roman" w:eastAsia="仿宋" w:cs="Times New Roman"/>
                <w:color w:val="auto"/>
                <w:sz w:val="20"/>
                <w:szCs w:val="20"/>
                <w:highlight w:val="none"/>
              </w:rPr>
            </w:pPr>
          </w:p>
        </w:tc>
      </w:tr>
      <w:tr w14:paraId="4F4E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noWrap w:val="0"/>
            <w:vAlign w:val="center"/>
          </w:tcPr>
          <w:p w14:paraId="4D0F39FE">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年度总体目标</w:t>
            </w:r>
          </w:p>
        </w:tc>
        <w:tc>
          <w:tcPr>
            <w:tcW w:w="7562" w:type="dxa"/>
            <w:gridSpan w:val="4"/>
            <w:noWrap w:val="0"/>
            <w:vAlign w:val="center"/>
          </w:tcPr>
          <w:p w14:paraId="78D993AA">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预期目标</w:t>
            </w:r>
          </w:p>
        </w:tc>
        <w:tc>
          <w:tcPr>
            <w:tcW w:w="5661" w:type="dxa"/>
            <w:gridSpan w:val="4"/>
            <w:noWrap w:val="0"/>
            <w:vAlign w:val="center"/>
          </w:tcPr>
          <w:p w14:paraId="64B94342">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实际完成情况</w:t>
            </w:r>
          </w:p>
        </w:tc>
      </w:tr>
      <w:tr w14:paraId="274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jc w:val="center"/>
        </w:trPr>
        <w:tc>
          <w:tcPr>
            <w:tcW w:w="1529" w:type="dxa"/>
            <w:vMerge w:val="continue"/>
            <w:noWrap w:val="0"/>
            <w:vAlign w:val="center"/>
          </w:tcPr>
          <w:p w14:paraId="5844E8BA">
            <w:pPr>
              <w:widowControl/>
              <w:jc w:val="left"/>
              <w:rPr>
                <w:rFonts w:hint="default" w:ascii="Times New Roman" w:hAnsi="Times New Roman" w:eastAsia="仿宋" w:cs="Times New Roman"/>
                <w:color w:val="auto"/>
                <w:sz w:val="20"/>
                <w:szCs w:val="20"/>
                <w:highlight w:val="none"/>
              </w:rPr>
            </w:pPr>
          </w:p>
        </w:tc>
        <w:tc>
          <w:tcPr>
            <w:tcW w:w="7562" w:type="dxa"/>
            <w:gridSpan w:val="4"/>
            <w:noWrap w:val="0"/>
            <w:vAlign w:val="center"/>
          </w:tcPr>
          <w:p w14:paraId="2CC8D0C6">
            <w:pPr>
              <w:widowControl/>
              <w:jc w:val="both"/>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落实省委、省政府决策部署的重大战略、重大政策、重大规划、重大项目等，设立高校师生创业创新公共平台和早期项目等建设、县域经济发展、“五好园区”推进、省属本科院校项目支持、省级储备粮仓储建设等专项，推进相关领域基础设施建设水平不断提升；保障省委、省政府确定的重大项目前期推进，相关重大项目委托评估评审、重大规划编制、重大课题研究、重大立法宣传等相关经费需要，同时对省政府“真抓实干”督查及相关工作考核先进市州、县市区和园区，以及重大项目推进有力的相关市州等给予适当奖补。其中支持财政统筹项目6个，支持落实重大战略和重大事项其他建设项目28个，支持落实有关文件规定奖励资金项目70个，支持前期费用支出项目完成成果数量16个，支持省属公办本科高校学生宿舍建设项目7个，支持“五好园区”建设项目20个，支持旅游发展大会支持项目3个，支持高校师生创业就业创新及北斗规模应用项目20个，支持以县城为重要载体的城镇化试点项目10个，支持废旧物资回收循环利用专项项目35个，支持重大投资项目前期工作经费项目133个等。</w:t>
            </w:r>
          </w:p>
        </w:tc>
        <w:tc>
          <w:tcPr>
            <w:tcW w:w="5661" w:type="dxa"/>
            <w:gridSpan w:val="4"/>
            <w:noWrap w:val="0"/>
            <w:vAlign w:val="center"/>
          </w:tcPr>
          <w:p w14:paraId="7C1071FD">
            <w:pPr>
              <w:widowControl/>
              <w:jc w:val="both"/>
              <w:rPr>
                <w:rFonts w:hint="default"/>
                <w:color w:val="auto"/>
                <w:highlight w:val="none"/>
              </w:rPr>
            </w:pPr>
            <w:r>
              <w:rPr>
                <w:rFonts w:hint="default" w:ascii="Times New Roman" w:hAnsi="Times New Roman" w:eastAsia="仿宋" w:cs="Times New Roman"/>
                <w:color w:val="auto"/>
                <w:sz w:val="20"/>
                <w:szCs w:val="20"/>
                <w:highlight w:val="none"/>
              </w:rPr>
              <w:t>2024年度省预算内基本建设专项资金绩效目标基本完成，省预算内基建投资计划执行情况良好，建设任务均在有序推进。其中重点支持财政统筹项目9个，支持落实重大战略和重大事项其他建设项目28个，支持落实有关文件规定奖励资金项目70个，支持前期费用支出项目完成成果数量41个，支持省属公办本科高校学生宿舍建设项目7个，支持“五好园区”建设项目26个，支持旅游发展大会支持项目3个，支持高校师生创业就业创新及北斗规模应用项目20个，支持以县城为重要载体的城镇化试点项目14个，支持废旧物资回收循环利用专项项目35个，支持重大投资项目前期工作经费项目133个等，为扩大有效投资、保持经济平稳运行作出了积极贡献。</w:t>
            </w:r>
          </w:p>
        </w:tc>
      </w:tr>
      <w:tr w14:paraId="15A9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noWrap w:val="0"/>
            <w:vAlign w:val="center"/>
          </w:tcPr>
          <w:p w14:paraId="4185360C">
            <w:pPr>
              <w:widowControl/>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绩效指标</w:t>
            </w:r>
          </w:p>
        </w:tc>
        <w:tc>
          <w:tcPr>
            <w:tcW w:w="1549" w:type="dxa"/>
            <w:shd w:val="clear" w:color="auto" w:fill="auto"/>
            <w:noWrap w:val="0"/>
            <w:vAlign w:val="center"/>
          </w:tcPr>
          <w:p w14:paraId="4CDFE4C6">
            <w:pPr>
              <w:widowControl/>
              <w:spacing w:line="240" w:lineRule="exact"/>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仿宋" w:cs="Times New Roman"/>
                <w:color w:val="auto"/>
                <w:sz w:val="20"/>
                <w:szCs w:val="20"/>
                <w:highlight w:val="none"/>
              </w:rPr>
              <w:t>一级指标</w:t>
            </w:r>
          </w:p>
        </w:tc>
        <w:tc>
          <w:tcPr>
            <w:tcW w:w="1534" w:type="dxa"/>
            <w:shd w:val="clear" w:color="auto" w:fill="auto"/>
            <w:noWrap w:val="0"/>
            <w:vAlign w:val="center"/>
          </w:tcPr>
          <w:p w14:paraId="284B82D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二级指标</w:t>
            </w:r>
          </w:p>
        </w:tc>
        <w:tc>
          <w:tcPr>
            <w:tcW w:w="2804" w:type="dxa"/>
            <w:shd w:val="clear" w:color="auto" w:fill="auto"/>
            <w:noWrap w:val="0"/>
            <w:vAlign w:val="center"/>
          </w:tcPr>
          <w:p w14:paraId="28AC8CD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三级指标</w:t>
            </w:r>
          </w:p>
        </w:tc>
        <w:tc>
          <w:tcPr>
            <w:tcW w:w="1675" w:type="dxa"/>
            <w:shd w:val="clear" w:color="auto" w:fill="auto"/>
            <w:noWrap w:val="0"/>
            <w:vAlign w:val="center"/>
          </w:tcPr>
          <w:p w14:paraId="76E22D2F">
            <w:pPr>
              <w:widowControl/>
              <w:spacing w:line="240" w:lineRule="exact"/>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年度</w:t>
            </w:r>
          </w:p>
          <w:p w14:paraId="1071A77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指标值</w:t>
            </w:r>
          </w:p>
        </w:tc>
        <w:tc>
          <w:tcPr>
            <w:tcW w:w="2193" w:type="dxa"/>
            <w:shd w:val="clear" w:color="auto" w:fill="auto"/>
            <w:noWrap w:val="0"/>
            <w:vAlign w:val="center"/>
          </w:tcPr>
          <w:p w14:paraId="3122E394">
            <w:pPr>
              <w:widowControl/>
              <w:spacing w:line="240" w:lineRule="exact"/>
              <w:jc w:val="center"/>
              <w:rPr>
                <w:rFonts w:hint="default" w:ascii="Times New Roman" w:hAnsi="Times New Roman" w:eastAsia="仿宋" w:cs="Times New Roman"/>
                <w:color w:val="auto"/>
                <w:sz w:val="20"/>
                <w:szCs w:val="20"/>
                <w:highlight w:val="none"/>
              </w:rPr>
            </w:pPr>
            <w:r>
              <w:rPr>
                <w:rFonts w:hint="default" w:ascii="Times New Roman" w:hAnsi="Times New Roman" w:eastAsia="仿宋" w:cs="Times New Roman"/>
                <w:color w:val="auto"/>
                <w:sz w:val="20"/>
                <w:szCs w:val="20"/>
                <w:highlight w:val="none"/>
              </w:rPr>
              <w:t>实际</w:t>
            </w:r>
          </w:p>
          <w:p w14:paraId="618B3AA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完成值</w:t>
            </w:r>
          </w:p>
        </w:tc>
        <w:tc>
          <w:tcPr>
            <w:tcW w:w="832" w:type="dxa"/>
            <w:shd w:val="clear" w:color="auto" w:fill="auto"/>
            <w:noWrap w:val="0"/>
            <w:vAlign w:val="center"/>
          </w:tcPr>
          <w:p w14:paraId="16D6B3E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分值</w:t>
            </w:r>
          </w:p>
        </w:tc>
        <w:tc>
          <w:tcPr>
            <w:tcW w:w="955" w:type="dxa"/>
            <w:shd w:val="clear" w:color="auto" w:fill="auto"/>
            <w:noWrap w:val="0"/>
            <w:vAlign w:val="center"/>
          </w:tcPr>
          <w:p w14:paraId="1FF5B65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得分</w:t>
            </w:r>
          </w:p>
        </w:tc>
        <w:tc>
          <w:tcPr>
            <w:tcW w:w="1681" w:type="dxa"/>
            <w:shd w:val="clear" w:color="auto" w:fill="auto"/>
            <w:noWrap w:val="0"/>
            <w:vAlign w:val="center"/>
          </w:tcPr>
          <w:p w14:paraId="334A39A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sz w:val="20"/>
                <w:szCs w:val="20"/>
                <w:highlight w:val="none"/>
              </w:rPr>
              <w:t>偏差原因分析及改进措施</w:t>
            </w:r>
          </w:p>
        </w:tc>
      </w:tr>
      <w:tr w14:paraId="60D1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restart"/>
            <w:shd w:val="clear" w:color="auto" w:fill="auto"/>
            <w:noWrap w:val="0"/>
            <w:vAlign w:val="center"/>
          </w:tcPr>
          <w:p w14:paraId="1E4B7D8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绩效指标</w:t>
            </w:r>
          </w:p>
        </w:tc>
        <w:tc>
          <w:tcPr>
            <w:tcW w:w="1549" w:type="dxa"/>
            <w:vMerge w:val="restart"/>
            <w:shd w:val="clear" w:color="auto" w:fill="auto"/>
            <w:noWrap w:val="0"/>
            <w:vAlign w:val="center"/>
          </w:tcPr>
          <w:p w14:paraId="35AB9956">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产出指标</w:t>
            </w:r>
          </w:p>
          <w:p w14:paraId="434CCDA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（40分）</w:t>
            </w:r>
          </w:p>
        </w:tc>
        <w:tc>
          <w:tcPr>
            <w:tcW w:w="1534" w:type="dxa"/>
            <w:vMerge w:val="restart"/>
            <w:shd w:val="clear" w:color="auto" w:fill="auto"/>
            <w:noWrap w:val="0"/>
            <w:vAlign w:val="center"/>
          </w:tcPr>
          <w:p w14:paraId="50C9785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数量指标</w:t>
            </w:r>
          </w:p>
        </w:tc>
        <w:tc>
          <w:tcPr>
            <w:tcW w:w="2804" w:type="dxa"/>
            <w:shd w:val="clear" w:color="auto" w:fill="auto"/>
            <w:noWrap w:val="0"/>
            <w:vAlign w:val="center"/>
          </w:tcPr>
          <w:p w14:paraId="509EF295">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财政统筹资金支持项目建设数量</w:t>
            </w:r>
          </w:p>
        </w:tc>
        <w:tc>
          <w:tcPr>
            <w:tcW w:w="1675" w:type="dxa"/>
            <w:shd w:val="clear" w:color="auto" w:fill="auto"/>
            <w:noWrap w:val="0"/>
            <w:vAlign w:val="center"/>
          </w:tcPr>
          <w:p w14:paraId="31AF08A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≥6个</w:t>
            </w:r>
          </w:p>
        </w:tc>
        <w:tc>
          <w:tcPr>
            <w:tcW w:w="2193" w:type="dxa"/>
            <w:shd w:val="clear" w:color="auto" w:fill="auto"/>
            <w:noWrap w:val="0"/>
            <w:vAlign w:val="center"/>
          </w:tcPr>
          <w:p w14:paraId="43483831">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9个</w:t>
            </w:r>
          </w:p>
        </w:tc>
        <w:tc>
          <w:tcPr>
            <w:tcW w:w="832" w:type="dxa"/>
            <w:shd w:val="clear" w:color="auto" w:fill="auto"/>
            <w:noWrap w:val="0"/>
            <w:vAlign w:val="center"/>
          </w:tcPr>
          <w:p w14:paraId="2DA7A91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7C9A9E7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330A4100">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66A0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E08ED8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E25A60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7D6762B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7941D75">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落实重大战略和重大事项其他建设项目支持项目建设数量</w:t>
            </w:r>
          </w:p>
        </w:tc>
        <w:tc>
          <w:tcPr>
            <w:tcW w:w="1675" w:type="dxa"/>
            <w:shd w:val="clear" w:color="auto" w:fill="auto"/>
            <w:noWrap w:val="0"/>
            <w:vAlign w:val="center"/>
          </w:tcPr>
          <w:p w14:paraId="2CA35A5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≥28个</w:t>
            </w:r>
          </w:p>
        </w:tc>
        <w:tc>
          <w:tcPr>
            <w:tcW w:w="2193" w:type="dxa"/>
            <w:shd w:val="clear" w:color="auto" w:fill="auto"/>
            <w:noWrap w:val="0"/>
            <w:vAlign w:val="center"/>
          </w:tcPr>
          <w:p w14:paraId="5F25CC6C">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28个</w:t>
            </w:r>
          </w:p>
        </w:tc>
        <w:tc>
          <w:tcPr>
            <w:tcW w:w="832" w:type="dxa"/>
            <w:shd w:val="clear" w:color="auto" w:fill="auto"/>
            <w:noWrap w:val="0"/>
            <w:vAlign w:val="center"/>
          </w:tcPr>
          <w:p w14:paraId="5924EB1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4</w:t>
            </w:r>
          </w:p>
        </w:tc>
        <w:tc>
          <w:tcPr>
            <w:tcW w:w="955" w:type="dxa"/>
            <w:shd w:val="clear" w:color="auto" w:fill="auto"/>
            <w:noWrap w:val="0"/>
            <w:vAlign w:val="center"/>
          </w:tcPr>
          <w:p w14:paraId="1B54BAC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4</w:t>
            </w:r>
          </w:p>
        </w:tc>
        <w:tc>
          <w:tcPr>
            <w:tcW w:w="1681" w:type="dxa"/>
            <w:shd w:val="clear" w:color="auto" w:fill="auto"/>
            <w:noWrap w:val="0"/>
            <w:vAlign w:val="center"/>
          </w:tcPr>
          <w:p w14:paraId="3AE730E7">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46B0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6790372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48E5FC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857B81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A07D4CD">
            <w:pPr>
              <w:widowControl/>
              <w:spacing w:line="240" w:lineRule="exact"/>
              <w:jc w:val="both"/>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落实有关文件规定奖励资金项目奖补主体数量</w:t>
            </w:r>
          </w:p>
        </w:tc>
        <w:tc>
          <w:tcPr>
            <w:tcW w:w="1675" w:type="dxa"/>
            <w:shd w:val="clear" w:color="auto" w:fill="auto"/>
            <w:noWrap w:val="0"/>
            <w:vAlign w:val="center"/>
          </w:tcPr>
          <w:p w14:paraId="71B8401D">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≥70个</w:t>
            </w:r>
          </w:p>
        </w:tc>
        <w:tc>
          <w:tcPr>
            <w:tcW w:w="2193" w:type="dxa"/>
            <w:shd w:val="clear" w:color="auto" w:fill="auto"/>
            <w:noWrap w:val="0"/>
            <w:vAlign w:val="center"/>
          </w:tcPr>
          <w:p w14:paraId="2AFE18F0">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70个</w:t>
            </w:r>
          </w:p>
        </w:tc>
        <w:tc>
          <w:tcPr>
            <w:tcW w:w="832" w:type="dxa"/>
            <w:shd w:val="clear" w:color="auto" w:fill="auto"/>
            <w:noWrap w:val="0"/>
            <w:vAlign w:val="center"/>
          </w:tcPr>
          <w:p w14:paraId="484B464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60B72B1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4359187C">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6301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9FA014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3AF2F4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D02DEE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5535508F">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前期费用支出</w:t>
            </w:r>
            <w:r>
              <w:rPr>
                <w:rFonts w:hint="eastAsia" w:eastAsia="仿宋" w:cs="Times New Roman"/>
                <w:color w:val="auto"/>
                <w:sz w:val="20"/>
                <w:szCs w:val="20"/>
                <w:highlight w:val="none"/>
                <w:lang w:val="en-US" w:eastAsia="zh-CN"/>
              </w:rPr>
              <w:t>项目</w:t>
            </w:r>
            <w:r>
              <w:rPr>
                <w:rFonts w:hint="eastAsia" w:ascii="Times New Roman" w:hAnsi="Times New Roman" w:eastAsia="仿宋" w:cs="Times New Roman"/>
                <w:color w:val="auto"/>
                <w:sz w:val="20"/>
                <w:szCs w:val="20"/>
                <w:highlight w:val="none"/>
                <w:lang w:val="en-US" w:eastAsia="zh-CN"/>
              </w:rPr>
              <w:t>完成成果数量</w:t>
            </w:r>
          </w:p>
        </w:tc>
        <w:tc>
          <w:tcPr>
            <w:tcW w:w="1675" w:type="dxa"/>
            <w:shd w:val="clear" w:color="auto" w:fill="auto"/>
            <w:noWrap w:val="0"/>
            <w:vAlign w:val="center"/>
          </w:tcPr>
          <w:p w14:paraId="281EFB64">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≥16个</w:t>
            </w:r>
          </w:p>
        </w:tc>
        <w:tc>
          <w:tcPr>
            <w:tcW w:w="2193" w:type="dxa"/>
            <w:shd w:val="clear" w:color="auto" w:fill="auto"/>
            <w:noWrap w:val="0"/>
            <w:vAlign w:val="center"/>
          </w:tcPr>
          <w:p w14:paraId="349AC705">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41个</w:t>
            </w:r>
          </w:p>
        </w:tc>
        <w:tc>
          <w:tcPr>
            <w:tcW w:w="832" w:type="dxa"/>
            <w:shd w:val="clear" w:color="auto" w:fill="auto"/>
            <w:noWrap w:val="0"/>
            <w:vAlign w:val="center"/>
          </w:tcPr>
          <w:p w14:paraId="5654A081">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4FCE6F8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554E1A01">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350D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E55CE2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A01144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80504D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5AA8946C">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前期费用支出项目评审项目数量</w:t>
            </w:r>
          </w:p>
        </w:tc>
        <w:tc>
          <w:tcPr>
            <w:tcW w:w="1675" w:type="dxa"/>
            <w:shd w:val="clear" w:color="auto" w:fill="auto"/>
            <w:noWrap w:val="0"/>
            <w:vAlign w:val="center"/>
          </w:tcPr>
          <w:p w14:paraId="6F0044CD">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≥200个</w:t>
            </w:r>
          </w:p>
        </w:tc>
        <w:tc>
          <w:tcPr>
            <w:tcW w:w="2193" w:type="dxa"/>
            <w:shd w:val="clear" w:color="auto" w:fill="auto"/>
            <w:noWrap w:val="0"/>
            <w:vAlign w:val="center"/>
          </w:tcPr>
          <w:p w14:paraId="5DB97F91">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200个</w:t>
            </w:r>
          </w:p>
        </w:tc>
        <w:tc>
          <w:tcPr>
            <w:tcW w:w="832" w:type="dxa"/>
            <w:shd w:val="clear" w:color="auto" w:fill="auto"/>
            <w:noWrap w:val="0"/>
            <w:vAlign w:val="center"/>
          </w:tcPr>
          <w:p w14:paraId="726AEE50">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748D56B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3A59F209">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4A0D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4AE98D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1AA872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97AFF3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379EC3D">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省属公办本科高校学生宿舍建设支持项目建设数量</w:t>
            </w:r>
          </w:p>
        </w:tc>
        <w:tc>
          <w:tcPr>
            <w:tcW w:w="1675" w:type="dxa"/>
            <w:shd w:val="clear" w:color="auto" w:fill="auto"/>
            <w:noWrap w:val="0"/>
            <w:vAlign w:val="center"/>
          </w:tcPr>
          <w:p w14:paraId="6491A6C5">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≥7个</w:t>
            </w:r>
          </w:p>
        </w:tc>
        <w:tc>
          <w:tcPr>
            <w:tcW w:w="2193" w:type="dxa"/>
            <w:shd w:val="clear" w:color="auto" w:fill="auto"/>
            <w:noWrap w:val="0"/>
            <w:vAlign w:val="center"/>
          </w:tcPr>
          <w:p w14:paraId="43658879">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7个</w:t>
            </w:r>
          </w:p>
        </w:tc>
        <w:tc>
          <w:tcPr>
            <w:tcW w:w="832" w:type="dxa"/>
            <w:shd w:val="clear" w:color="auto" w:fill="auto"/>
            <w:noWrap w:val="0"/>
            <w:vAlign w:val="center"/>
          </w:tcPr>
          <w:p w14:paraId="4FB727D5">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69D86CC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762579B9">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3969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537049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7FA71CB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7B55CF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7515615">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“五好园区”建设支持项目建设数量</w:t>
            </w:r>
          </w:p>
        </w:tc>
        <w:tc>
          <w:tcPr>
            <w:tcW w:w="1675" w:type="dxa"/>
            <w:shd w:val="clear" w:color="auto" w:fill="auto"/>
            <w:noWrap w:val="0"/>
            <w:vAlign w:val="center"/>
          </w:tcPr>
          <w:p w14:paraId="626A05B6">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≥20个</w:t>
            </w:r>
          </w:p>
        </w:tc>
        <w:tc>
          <w:tcPr>
            <w:tcW w:w="2193" w:type="dxa"/>
            <w:shd w:val="clear" w:color="auto" w:fill="auto"/>
            <w:noWrap w:val="0"/>
            <w:vAlign w:val="center"/>
          </w:tcPr>
          <w:p w14:paraId="521E8DC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26个</w:t>
            </w:r>
          </w:p>
        </w:tc>
        <w:tc>
          <w:tcPr>
            <w:tcW w:w="832" w:type="dxa"/>
            <w:shd w:val="clear" w:color="auto" w:fill="auto"/>
            <w:noWrap w:val="0"/>
            <w:vAlign w:val="center"/>
          </w:tcPr>
          <w:p w14:paraId="00B14C15">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7C461C6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2E2C0342">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486E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02763E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EEF859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1DDEB7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FC89345">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旅游发展大会</w:t>
            </w:r>
            <w:r>
              <w:rPr>
                <w:rFonts w:hint="eastAsia" w:eastAsia="仿宋" w:cs="Times New Roman"/>
                <w:color w:val="auto"/>
                <w:sz w:val="20"/>
                <w:szCs w:val="20"/>
                <w:highlight w:val="none"/>
                <w:lang w:val="en-US" w:eastAsia="zh-CN"/>
              </w:rPr>
              <w:t>支持</w:t>
            </w:r>
            <w:r>
              <w:rPr>
                <w:rFonts w:hint="eastAsia" w:ascii="Times New Roman" w:hAnsi="Times New Roman" w:eastAsia="仿宋" w:cs="Times New Roman"/>
                <w:color w:val="auto"/>
                <w:sz w:val="20"/>
                <w:szCs w:val="20"/>
                <w:highlight w:val="none"/>
                <w:lang w:val="en-US" w:eastAsia="zh-CN"/>
              </w:rPr>
              <w:t>项目建设数量</w:t>
            </w:r>
          </w:p>
        </w:tc>
        <w:tc>
          <w:tcPr>
            <w:tcW w:w="1675" w:type="dxa"/>
            <w:shd w:val="clear" w:color="auto" w:fill="auto"/>
            <w:noWrap w:val="0"/>
            <w:vAlign w:val="center"/>
          </w:tcPr>
          <w:p w14:paraId="6B0911CC">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≥3个</w:t>
            </w:r>
          </w:p>
        </w:tc>
        <w:tc>
          <w:tcPr>
            <w:tcW w:w="2193" w:type="dxa"/>
            <w:shd w:val="clear" w:color="auto" w:fill="auto"/>
            <w:noWrap w:val="0"/>
            <w:vAlign w:val="center"/>
          </w:tcPr>
          <w:p w14:paraId="587A58B7">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3个</w:t>
            </w:r>
          </w:p>
        </w:tc>
        <w:tc>
          <w:tcPr>
            <w:tcW w:w="832" w:type="dxa"/>
            <w:shd w:val="clear" w:color="auto" w:fill="auto"/>
            <w:noWrap w:val="0"/>
            <w:vAlign w:val="center"/>
          </w:tcPr>
          <w:p w14:paraId="7E0C0C3F">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4A9E9D4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05E769CE">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0DFE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9" w:type="dxa"/>
            <w:vMerge w:val="continue"/>
            <w:shd w:val="clear" w:color="auto" w:fill="auto"/>
            <w:noWrap w:val="0"/>
            <w:vAlign w:val="center"/>
          </w:tcPr>
          <w:p w14:paraId="7801C4C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0F7F5C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101682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E836734">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省级储备粮仓储建设项目新建仓容规模（麦容）</w:t>
            </w:r>
          </w:p>
        </w:tc>
        <w:tc>
          <w:tcPr>
            <w:tcW w:w="1675" w:type="dxa"/>
            <w:shd w:val="clear" w:color="auto" w:fill="auto"/>
            <w:noWrap w:val="0"/>
            <w:vAlign w:val="center"/>
          </w:tcPr>
          <w:p w14:paraId="4BF4EFCB">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≥12.9万吨</w:t>
            </w:r>
          </w:p>
        </w:tc>
        <w:tc>
          <w:tcPr>
            <w:tcW w:w="2193" w:type="dxa"/>
            <w:shd w:val="clear" w:color="auto" w:fill="auto"/>
            <w:noWrap w:val="0"/>
            <w:vAlign w:val="center"/>
          </w:tcPr>
          <w:p w14:paraId="7E8EB37C">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12.9万吨</w:t>
            </w:r>
          </w:p>
        </w:tc>
        <w:tc>
          <w:tcPr>
            <w:tcW w:w="832" w:type="dxa"/>
            <w:shd w:val="clear" w:color="auto" w:fill="auto"/>
            <w:noWrap w:val="0"/>
            <w:vAlign w:val="center"/>
          </w:tcPr>
          <w:p w14:paraId="04CAA43B">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60E9145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5ECFEDEF">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0EC3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9" w:type="dxa"/>
            <w:vMerge w:val="continue"/>
            <w:shd w:val="clear" w:color="auto" w:fill="auto"/>
            <w:noWrap w:val="0"/>
            <w:vAlign w:val="center"/>
          </w:tcPr>
          <w:p w14:paraId="5D28C43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8564A2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5DD9F1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6B7BED0">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省级储备粮仓储建设项目改造升级仓容（麦容）</w:t>
            </w:r>
          </w:p>
        </w:tc>
        <w:tc>
          <w:tcPr>
            <w:tcW w:w="1675" w:type="dxa"/>
            <w:shd w:val="clear" w:color="auto" w:fill="auto"/>
            <w:noWrap w:val="0"/>
            <w:vAlign w:val="center"/>
          </w:tcPr>
          <w:p w14:paraId="27142645">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≥4.08万吨</w:t>
            </w:r>
          </w:p>
        </w:tc>
        <w:tc>
          <w:tcPr>
            <w:tcW w:w="2193" w:type="dxa"/>
            <w:shd w:val="clear" w:color="auto" w:fill="auto"/>
            <w:noWrap w:val="0"/>
            <w:vAlign w:val="center"/>
          </w:tcPr>
          <w:p w14:paraId="0CE02E9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4.08万吨</w:t>
            </w:r>
          </w:p>
        </w:tc>
        <w:tc>
          <w:tcPr>
            <w:tcW w:w="832" w:type="dxa"/>
            <w:shd w:val="clear" w:color="auto" w:fill="auto"/>
            <w:noWrap w:val="0"/>
            <w:vAlign w:val="center"/>
          </w:tcPr>
          <w:p w14:paraId="00BAC575">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2F5B8C1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3EA7BFC7">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6323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4833824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98EDF1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2EE3918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1421FC3">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高校师生创业就业创新及北斗规模应用支持项目建设数量</w:t>
            </w:r>
          </w:p>
        </w:tc>
        <w:tc>
          <w:tcPr>
            <w:tcW w:w="1675" w:type="dxa"/>
            <w:shd w:val="clear" w:color="auto" w:fill="auto"/>
            <w:noWrap w:val="0"/>
            <w:vAlign w:val="center"/>
          </w:tcPr>
          <w:p w14:paraId="1520F4D5">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20个左右</w:t>
            </w:r>
          </w:p>
        </w:tc>
        <w:tc>
          <w:tcPr>
            <w:tcW w:w="2193" w:type="dxa"/>
            <w:shd w:val="clear" w:color="auto" w:fill="auto"/>
            <w:noWrap w:val="0"/>
            <w:vAlign w:val="center"/>
          </w:tcPr>
          <w:p w14:paraId="1F2B143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20个</w:t>
            </w:r>
          </w:p>
        </w:tc>
        <w:tc>
          <w:tcPr>
            <w:tcW w:w="832" w:type="dxa"/>
            <w:shd w:val="clear" w:color="auto" w:fill="auto"/>
            <w:noWrap w:val="0"/>
            <w:vAlign w:val="center"/>
          </w:tcPr>
          <w:p w14:paraId="176DA050">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400AD6D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0DE61470">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5ADD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45B5B07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119C53E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527D32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E2ED7CC">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以县城为重要载体的城镇化试点支持项目建设数量</w:t>
            </w:r>
          </w:p>
        </w:tc>
        <w:tc>
          <w:tcPr>
            <w:tcW w:w="1675" w:type="dxa"/>
            <w:shd w:val="clear" w:color="auto" w:fill="auto"/>
            <w:noWrap w:val="0"/>
            <w:vAlign w:val="center"/>
          </w:tcPr>
          <w:p w14:paraId="59624B6A">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≥10个</w:t>
            </w:r>
          </w:p>
        </w:tc>
        <w:tc>
          <w:tcPr>
            <w:tcW w:w="2193" w:type="dxa"/>
            <w:shd w:val="clear" w:color="auto" w:fill="auto"/>
            <w:noWrap w:val="0"/>
            <w:vAlign w:val="center"/>
          </w:tcPr>
          <w:p w14:paraId="4FA519B5">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14个</w:t>
            </w:r>
          </w:p>
        </w:tc>
        <w:tc>
          <w:tcPr>
            <w:tcW w:w="832" w:type="dxa"/>
            <w:shd w:val="clear" w:color="auto" w:fill="auto"/>
            <w:noWrap w:val="0"/>
            <w:vAlign w:val="center"/>
          </w:tcPr>
          <w:p w14:paraId="70624DE6">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675635C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68C4B6EE">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381A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A857DD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5D46AB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217F471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213877F">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废旧物资回收循环利用专项项目支持项目建设数量</w:t>
            </w:r>
          </w:p>
        </w:tc>
        <w:tc>
          <w:tcPr>
            <w:tcW w:w="1675" w:type="dxa"/>
            <w:shd w:val="clear" w:color="auto" w:fill="auto"/>
            <w:noWrap w:val="0"/>
            <w:vAlign w:val="center"/>
          </w:tcPr>
          <w:p w14:paraId="7F01F166">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35个</w:t>
            </w:r>
          </w:p>
        </w:tc>
        <w:tc>
          <w:tcPr>
            <w:tcW w:w="2193" w:type="dxa"/>
            <w:shd w:val="clear" w:color="auto" w:fill="auto"/>
            <w:noWrap w:val="0"/>
            <w:vAlign w:val="center"/>
          </w:tcPr>
          <w:p w14:paraId="637F965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35个</w:t>
            </w:r>
          </w:p>
        </w:tc>
        <w:tc>
          <w:tcPr>
            <w:tcW w:w="832" w:type="dxa"/>
            <w:shd w:val="clear" w:color="auto" w:fill="auto"/>
            <w:noWrap w:val="0"/>
            <w:vAlign w:val="center"/>
          </w:tcPr>
          <w:p w14:paraId="0B129411">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46719F4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7CE975A6">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7D32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235272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72D0D7F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8E0698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B8E36F4">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重大投资项目前期工作经费支持项目数量</w:t>
            </w:r>
          </w:p>
        </w:tc>
        <w:tc>
          <w:tcPr>
            <w:tcW w:w="1675" w:type="dxa"/>
            <w:shd w:val="clear" w:color="auto" w:fill="auto"/>
            <w:noWrap w:val="0"/>
            <w:vAlign w:val="center"/>
          </w:tcPr>
          <w:p w14:paraId="467DD2FD">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≥133个</w:t>
            </w:r>
          </w:p>
        </w:tc>
        <w:tc>
          <w:tcPr>
            <w:tcW w:w="2193" w:type="dxa"/>
            <w:shd w:val="clear" w:color="auto" w:fill="auto"/>
            <w:noWrap w:val="0"/>
            <w:vAlign w:val="center"/>
          </w:tcPr>
          <w:p w14:paraId="14B560AA">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133个</w:t>
            </w:r>
          </w:p>
        </w:tc>
        <w:tc>
          <w:tcPr>
            <w:tcW w:w="832" w:type="dxa"/>
            <w:shd w:val="clear" w:color="auto" w:fill="auto"/>
            <w:noWrap w:val="0"/>
            <w:vAlign w:val="center"/>
          </w:tcPr>
          <w:p w14:paraId="5D657863">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4</w:t>
            </w:r>
          </w:p>
        </w:tc>
        <w:tc>
          <w:tcPr>
            <w:tcW w:w="955" w:type="dxa"/>
            <w:shd w:val="clear" w:color="auto" w:fill="auto"/>
            <w:noWrap w:val="0"/>
            <w:vAlign w:val="center"/>
          </w:tcPr>
          <w:p w14:paraId="4149BA6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4</w:t>
            </w:r>
          </w:p>
        </w:tc>
        <w:tc>
          <w:tcPr>
            <w:tcW w:w="1681" w:type="dxa"/>
            <w:shd w:val="clear" w:color="auto" w:fill="auto"/>
            <w:noWrap w:val="0"/>
            <w:vAlign w:val="center"/>
          </w:tcPr>
          <w:p w14:paraId="02F919CE">
            <w:pPr>
              <w:widowControl/>
              <w:spacing w:line="240" w:lineRule="exact"/>
              <w:jc w:val="center"/>
              <w:rPr>
                <w:rFonts w:hint="default" w:ascii="Times New Roman" w:hAnsi="Times New Roman" w:eastAsia="仿宋" w:cs="Times New Roman"/>
                <w:color w:val="auto"/>
                <w:sz w:val="20"/>
                <w:szCs w:val="20"/>
                <w:highlight w:val="none"/>
                <w:lang w:val="en-US" w:eastAsia="zh-CN"/>
              </w:rPr>
            </w:pPr>
          </w:p>
        </w:tc>
      </w:tr>
      <w:tr w14:paraId="4D5D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A1C2A93">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5895536">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restart"/>
            <w:shd w:val="clear" w:color="auto" w:fill="auto"/>
            <w:noWrap w:val="0"/>
            <w:vAlign w:val="center"/>
          </w:tcPr>
          <w:p w14:paraId="16D421AB">
            <w:pPr>
              <w:keepNext w:val="0"/>
              <w:keepLines w:val="0"/>
              <w:widowControl/>
              <w:suppressLineNumbers w:val="0"/>
              <w:jc w:val="lef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质量指标</w:t>
            </w:r>
          </w:p>
        </w:tc>
        <w:tc>
          <w:tcPr>
            <w:tcW w:w="2804" w:type="dxa"/>
            <w:shd w:val="clear" w:color="auto" w:fill="auto"/>
            <w:noWrap w:val="0"/>
            <w:vAlign w:val="center"/>
          </w:tcPr>
          <w:p w14:paraId="56A47B3D">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财政统筹资金项目阶段性工程验收合格率</w:t>
            </w:r>
          </w:p>
        </w:tc>
        <w:tc>
          <w:tcPr>
            <w:tcW w:w="1675" w:type="dxa"/>
            <w:shd w:val="clear" w:color="auto" w:fill="auto"/>
            <w:noWrap w:val="0"/>
            <w:vAlign w:val="center"/>
          </w:tcPr>
          <w:p w14:paraId="64F5EE7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100%</w:t>
            </w:r>
          </w:p>
        </w:tc>
        <w:tc>
          <w:tcPr>
            <w:tcW w:w="2193" w:type="dxa"/>
            <w:shd w:val="clear" w:color="auto" w:fill="auto"/>
            <w:noWrap w:val="0"/>
            <w:vAlign w:val="center"/>
          </w:tcPr>
          <w:p w14:paraId="1861363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100%</w:t>
            </w:r>
          </w:p>
        </w:tc>
        <w:tc>
          <w:tcPr>
            <w:tcW w:w="832" w:type="dxa"/>
            <w:shd w:val="clear" w:color="auto" w:fill="auto"/>
            <w:noWrap w:val="0"/>
            <w:vAlign w:val="center"/>
          </w:tcPr>
          <w:p w14:paraId="3629C9F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725AA15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61ED7A1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6F1B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006DDE5">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77FCAA3">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291D69A">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D12A8F7">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财政统筹资金项目、落实重大战略和重大事项其他建设项目、省属公办本科高校学生宿舍建设项目、旅游发展大会</w:t>
            </w:r>
            <w:r>
              <w:rPr>
                <w:rFonts w:hint="eastAsia" w:eastAsia="仿宋" w:cs="Times New Roman"/>
                <w:color w:val="auto"/>
                <w:sz w:val="20"/>
                <w:szCs w:val="20"/>
                <w:highlight w:val="none"/>
                <w:lang w:val="en-US" w:eastAsia="zh-CN"/>
              </w:rPr>
              <w:t>支持</w:t>
            </w:r>
            <w:r>
              <w:rPr>
                <w:rFonts w:hint="eastAsia" w:ascii="Times New Roman" w:hAnsi="Times New Roman" w:eastAsia="仿宋" w:cs="Times New Roman"/>
                <w:color w:val="auto"/>
                <w:sz w:val="20"/>
                <w:szCs w:val="20"/>
                <w:highlight w:val="none"/>
                <w:lang w:val="en-US" w:eastAsia="zh-CN"/>
              </w:rPr>
              <w:t>项目、废旧物资回收循环利用专项项目、重大投资项目前期工作经费项目在建过程发生重大质量事故</w:t>
            </w:r>
          </w:p>
        </w:tc>
        <w:tc>
          <w:tcPr>
            <w:tcW w:w="1675" w:type="dxa"/>
            <w:shd w:val="clear" w:color="auto" w:fill="auto"/>
            <w:noWrap w:val="0"/>
            <w:vAlign w:val="center"/>
          </w:tcPr>
          <w:p w14:paraId="5EA87F58">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0次</w:t>
            </w:r>
          </w:p>
        </w:tc>
        <w:tc>
          <w:tcPr>
            <w:tcW w:w="2193" w:type="dxa"/>
            <w:shd w:val="clear" w:color="auto" w:fill="auto"/>
            <w:noWrap w:val="0"/>
            <w:vAlign w:val="center"/>
          </w:tcPr>
          <w:p w14:paraId="37FBC77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0次</w:t>
            </w:r>
          </w:p>
        </w:tc>
        <w:tc>
          <w:tcPr>
            <w:tcW w:w="832" w:type="dxa"/>
            <w:shd w:val="clear" w:color="auto" w:fill="auto"/>
            <w:noWrap w:val="0"/>
            <w:vAlign w:val="center"/>
          </w:tcPr>
          <w:p w14:paraId="6762DBC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3</w:t>
            </w:r>
          </w:p>
        </w:tc>
        <w:tc>
          <w:tcPr>
            <w:tcW w:w="955" w:type="dxa"/>
            <w:shd w:val="clear" w:color="auto" w:fill="auto"/>
            <w:noWrap w:val="0"/>
            <w:vAlign w:val="center"/>
          </w:tcPr>
          <w:p w14:paraId="39EAD56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3</w:t>
            </w:r>
          </w:p>
        </w:tc>
        <w:tc>
          <w:tcPr>
            <w:tcW w:w="1681" w:type="dxa"/>
            <w:shd w:val="clear" w:color="auto" w:fill="auto"/>
            <w:noWrap w:val="0"/>
            <w:vAlign w:val="center"/>
          </w:tcPr>
          <w:p w14:paraId="7FA8E84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065C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FAE534C">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DCC7480">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794A8904">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74B2B80">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落实重大战略和重大事项其他建设项目、省属公办本科高校学生宿舍建设项目、“五好园区”建设项目、旅游发展大会</w:t>
            </w:r>
            <w:r>
              <w:rPr>
                <w:rFonts w:hint="eastAsia" w:eastAsia="仿宋" w:cs="Times New Roman"/>
                <w:color w:val="auto"/>
                <w:sz w:val="20"/>
                <w:szCs w:val="20"/>
                <w:highlight w:val="none"/>
                <w:lang w:val="en-US" w:eastAsia="zh-CN"/>
              </w:rPr>
              <w:t>支持</w:t>
            </w:r>
            <w:r>
              <w:rPr>
                <w:rFonts w:hint="eastAsia" w:ascii="Times New Roman" w:hAnsi="Times New Roman" w:eastAsia="仿宋" w:cs="Times New Roman"/>
                <w:color w:val="auto"/>
                <w:sz w:val="20"/>
                <w:szCs w:val="20"/>
                <w:highlight w:val="none"/>
                <w:lang w:val="en-US" w:eastAsia="zh-CN"/>
              </w:rPr>
              <w:t>项目、省级储备粮仓储建设项目、以县城为重要载体的城镇化试点支持项目、废旧物资回收循环利用专项项目竣工验收合格率</w:t>
            </w:r>
          </w:p>
        </w:tc>
        <w:tc>
          <w:tcPr>
            <w:tcW w:w="1675" w:type="dxa"/>
            <w:shd w:val="clear" w:color="auto" w:fill="auto"/>
            <w:noWrap w:val="0"/>
            <w:vAlign w:val="center"/>
          </w:tcPr>
          <w:p w14:paraId="0ABED082">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100%</w:t>
            </w:r>
          </w:p>
        </w:tc>
        <w:tc>
          <w:tcPr>
            <w:tcW w:w="2193" w:type="dxa"/>
            <w:shd w:val="clear" w:color="auto" w:fill="auto"/>
            <w:noWrap w:val="0"/>
            <w:vAlign w:val="center"/>
          </w:tcPr>
          <w:p w14:paraId="006AEC1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100%</w:t>
            </w:r>
          </w:p>
        </w:tc>
        <w:tc>
          <w:tcPr>
            <w:tcW w:w="832" w:type="dxa"/>
            <w:shd w:val="clear" w:color="auto" w:fill="auto"/>
            <w:noWrap w:val="0"/>
            <w:vAlign w:val="center"/>
          </w:tcPr>
          <w:p w14:paraId="097D614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3</w:t>
            </w:r>
          </w:p>
        </w:tc>
        <w:tc>
          <w:tcPr>
            <w:tcW w:w="955" w:type="dxa"/>
            <w:shd w:val="clear" w:color="auto" w:fill="auto"/>
            <w:noWrap w:val="0"/>
            <w:vAlign w:val="center"/>
          </w:tcPr>
          <w:p w14:paraId="4C4CFB4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3</w:t>
            </w:r>
          </w:p>
        </w:tc>
        <w:tc>
          <w:tcPr>
            <w:tcW w:w="1681" w:type="dxa"/>
            <w:shd w:val="clear" w:color="auto" w:fill="auto"/>
            <w:noWrap w:val="0"/>
            <w:vAlign w:val="center"/>
          </w:tcPr>
          <w:p w14:paraId="3FB541F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221C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1529" w:type="dxa"/>
            <w:vMerge w:val="continue"/>
            <w:shd w:val="clear" w:color="auto" w:fill="auto"/>
            <w:noWrap w:val="0"/>
            <w:vAlign w:val="center"/>
          </w:tcPr>
          <w:p w14:paraId="69234E38">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F343F81">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4CAC4BF">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F28C802">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前期费用支出项目规划、方案、课题等成果通过评审率</w:t>
            </w:r>
          </w:p>
        </w:tc>
        <w:tc>
          <w:tcPr>
            <w:tcW w:w="1675" w:type="dxa"/>
            <w:shd w:val="clear" w:color="auto" w:fill="auto"/>
            <w:noWrap w:val="0"/>
            <w:vAlign w:val="center"/>
          </w:tcPr>
          <w:p w14:paraId="6E6489D0">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100%</w:t>
            </w:r>
          </w:p>
        </w:tc>
        <w:tc>
          <w:tcPr>
            <w:tcW w:w="2193" w:type="dxa"/>
            <w:shd w:val="clear" w:color="auto" w:fill="auto"/>
            <w:noWrap w:val="0"/>
            <w:vAlign w:val="center"/>
          </w:tcPr>
          <w:p w14:paraId="4AE4FAF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100%</w:t>
            </w:r>
          </w:p>
        </w:tc>
        <w:tc>
          <w:tcPr>
            <w:tcW w:w="832" w:type="dxa"/>
            <w:shd w:val="clear" w:color="auto" w:fill="auto"/>
            <w:noWrap w:val="0"/>
            <w:vAlign w:val="center"/>
          </w:tcPr>
          <w:p w14:paraId="2D6CF11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2E7D74B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7E77211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1D60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258C383C">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7ED943E1">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787F9808">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79998AD">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高校师生创业就业创新及北斗规模应用项目年内项目开工率</w:t>
            </w:r>
          </w:p>
        </w:tc>
        <w:tc>
          <w:tcPr>
            <w:tcW w:w="1675" w:type="dxa"/>
            <w:shd w:val="clear" w:color="auto" w:fill="auto"/>
            <w:noWrap w:val="0"/>
            <w:vAlign w:val="center"/>
          </w:tcPr>
          <w:p w14:paraId="6B6BA13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100%</w:t>
            </w:r>
          </w:p>
        </w:tc>
        <w:tc>
          <w:tcPr>
            <w:tcW w:w="2193" w:type="dxa"/>
            <w:shd w:val="clear" w:color="auto" w:fill="auto"/>
            <w:noWrap w:val="0"/>
            <w:vAlign w:val="center"/>
          </w:tcPr>
          <w:p w14:paraId="7CFD101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100%</w:t>
            </w:r>
          </w:p>
        </w:tc>
        <w:tc>
          <w:tcPr>
            <w:tcW w:w="832" w:type="dxa"/>
            <w:shd w:val="clear" w:color="auto" w:fill="auto"/>
            <w:noWrap w:val="0"/>
            <w:vAlign w:val="center"/>
          </w:tcPr>
          <w:p w14:paraId="47C60EA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0.5</w:t>
            </w:r>
          </w:p>
        </w:tc>
        <w:tc>
          <w:tcPr>
            <w:tcW w:w="955" w:type="dxa"/>
            <w:shd w:val="clear" w:color="auto" w:fill="auto"/>
            <w:noWrap w:val="0"/>
            <w:vAlign w:val="center"/>
          </w:tcPr>
          <w:p w14:paraId="37F7233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0.5</w:t>
            </w:r>
          </w:p>
        </w:tc>
        <w:tc>
          <w:tcPr>
            <w:tcW w:w="1681" w:type="dxa"/>
            <w:shd w:val="clear" w:color="auto" w:fill="auto"/>
            <w:noWrap w:val="0"/>
            <w:vAlign w:val="center"/>
          </w:tcPr>
          <w:p w14:paraId="5B25FF4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6C6A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1529" w:type="dxa"/>
            <w:vMerge w:val="continue"/>
            <w:shd w:val="clear" w:color="auto" w:fill="auto"/>
            <w:noWrap w:val="0"/>
            <w:vAlign w:val="center"/>
          </w:tcPr>
          <w:p w14:paraId="16248719">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7CB90865">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A80B872">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74C278F">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高校师生创业就业创新及北斗规模应用项目年度投资计划平均完成率</w:t>
            </w:r>
          </w:p>
        </w:tc>
        <w:tc>
          <w:tcPr>
            <w:tcW w:w="1675" w:type="dxa"/>
            <w:shd w:val="clear" w:color="auto" w:fill="auto"/>
            <w:noWrap w:val="0"/>
            <w:vAlign w:val="center"/>
          </w:tcPr>
          <w:p w14:paraId="1D165B41">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≥20%</w:t>
            </w:r>
          </w:p>
        </w:tc>
        <w:tc>
          <w:tcPr>
            <w:tcW w:w="2193" w:type="dxa"/>
            <w:shd w:val="clear" w:color="auto" w:fill="auto"/>
            <w:noWrap w:val="0"/>
            <w:vAlign w:val="center"/>
          </w:tcPr>
          <w:p w14:paraId="38175FF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29%</w:t>
            </w:r>
          </w:p>
        </w:tc>
        <w:tc>
          <w:tcPr>
            <w:tcW w:w="832" w:type="dxa"/>
            <w:shd w:val="clear" w:color="auto" w:fill="auto"/>
            <w:noWrap w:val="0"/>
            <w:vAlign w:val="center"/>
          </w:tcPr>
          <w:p w14:paraId="3A84F1D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0.5</w:t>
            </w:r>
          </w:p>
        </w:tc>
        <w:tc>
          <w:tcPr>
            <w:tcW w:w="955" w:type="dxa"/>
            <w:shd w:val="clear" w:color="auto" w:fill="auto"/>
            <w:noWrap w:val="0"/>
            <w:vAlign w:val="center"/>
          </w:tcPr>
          <w:p w14:paraId="6F2E606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0.5</w:t>
            </w:r>
          </w:p>
        </w:tc>
        <w:tc>
          <w:tcPr>
            <w:tcW w:w="1681" w:type="dxa"/>
            <w:shd w:val="clear" w:color="auto" w:fill="auto"/>
            <w:noWrap w:val="0"/>
            <w:vAlign w:val="center"/>
          </w:tcPr>
          <w:p w14:paraId="3F14235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2698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jc w:val="center"/>
        </w:trPr>
        <w:tc>
          <w:tcPr>
            <w:tcW w:w="1529" w:type="dxa"/>
            <w:vMerge w:val="continue"/>
            <w:shd w:val="clear" w:color="auto" w:fill="auto"/>
            <w:noWrap w:val="0"/>
            <w:vAlign w:val="center"/>
          </w:tcPr>
          <w:p w14:paraId="48794FFB">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AB386D1">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843563D">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7B1FA17">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重大投资项目前期工作经费项目开工率</w:t>
            </w:r>
          </w:p>
        </w:tc>
        <w:tc>
          <w:tcPr>
            <w:tcW w:w="1675" w:type="dxa"/>
            <w:shd w:val="clear" w:color="auto" w:fill="auto"/>
            <w:noWrap w:val="0"/>
            <w:vAlign w:val="center"/>
          </w:tcPr>
          <w:p w14:paraId="66C927A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≥50%</w:t>
            </w:r>
          </w:p>
        </w:tc>
        <w:tc>
          <w:tcPr>
            <w:tcW w:w="2193" w:type="dxa"/>
            <w:shd w:val="clear" w:color="auto" w:fill="auto"/>
            <w:noWrap w:val="0"/>
            <w:vAlign w:val="center"/>
          </w:tcPr>
          <w:p w14:paraId="3CB617A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kern w:val="2"/>
                <w:sz w:val="20"/>
                <w:szCs w:val="20"/>
                <w:highlight w:val="none"/>
                <w:lang w:val="en-US" w:eastAsia="zh-CN" w:bidi="ar-SA"/>
              </w:rPr>
              <w:t>50.37</w:t>
            </w:r>
            <w:r>
              <w:rPr>
                <w:rFonts w:hint="eastAsia" w:eastAsia="仿宋" w:cs="Times New Roman"/>
                <w:color w:val="auto"/>
                <w:kern w:val="2"/>
                <w:sz w:val="20"/>
                <w:szCs w:val="20"/>
                <w:highlight w:val="none"/>
                <w:lang w:val="en-US" w:eastAsia="zh-CN" w:bidi="ar-SA"/>
              </w:rPr>
              <w:t>%</w:t>
            </w:r>
          </w:p>
        </w:tc>
        <w:tc>
          <w:tcPr>
            <w:tcW w:w="832" w:type="dxa"/>
            <w:shd w:val="clear" w:color="auto" w:fill="auto"/>
            <w:noWrap w:val="0"/>
            <w:vAlign w:val="center"/>
          </w:tcPr>
          <w:p w14:paraId="1EA4FBD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251159D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200DA1A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789D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0" w:hRule="atLeast"/>
          <w:jc w:val="center"/>
        </w:trPr>
        <w:tc>
          <w:tcPr>
            <w:tcW w:w="1529" w:type="dxa"/>
            <w:vMerge w:val="continue"/>
            <w:shd w:val="clear" w:color="auto" w:fill="auto"/>
            <w:noWrap w:val="0"/>
            <w:vAlign w:val="center"/>
          </w:tcPr>
          <w:p w14:paraId="59300E12">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4A64377">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restart"/>
            <w:shd w:val="clear" w:color="auto" w:fill="auto"/>
            <w:noWrap w:val="0"/>
            <w:vAlign w:val="center"/>
          </w:tcPr>
          <w:p w14:paraId="7C619544">
            <w:pPr>
              <w:keepNext w:val="0"/>
              <w:keepLines w:val="0"/>
              <w:widowControl/>
              <w:suppressLineNumbers w:val="0"/>
              <w:jc w:val="lef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时效指标</w:t>
            </w:r>
          </w:p>
        </w:tc>
        <w:tc>
          <w:tcPr>
            <w:tcW w:w="2804" w:type="dxa"/>
            <w:shd w:val="clear" w:color="auto" w:fill="auto"/>
            <w:noWrap w:val="0"/>
            <w:vAlign w:val="center"/>
          </w:tcPr>
          <w:p w14:paraId="5A3F2A98">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财政统筹资金项目、落实重大战略和重大事项其他建设项目、落实有关文件规定奖励资金项目、前期费用支出项目、省属公办本科高校学生宿舍建设项目、“五好园区”建设项目、旅游发展大会</w:t>
            </w:r>
            <w:r>
              <w:rPr>
                <w:rFonts w:hint="eastAsia" w:eastAsia="仿宋" w:cs="Times New Roman"/>
                <w:color w:val="auto"/>
                <w:sz w:val="20"/>
                <w:szCs w:val="20"/>
                <w:highlight w:val="none"/>
                <w:lang w:val="en-US" w:eastAsia="zh-CN"/>
              </w:rPr>
              <w:t>支持</w:t>
            </w:r>
            <w:r>
              <w:rPr>
                <w:rFonts w:hint="eastAsia" w:ascii="Times New Roman" w:hAnsi="Times New Roman" w:eastAsia="仿宋" w:cs="Times New Roman"/>
                <w:color w:val="auto"/>
                <w:sz w:val="20"/>
                <w:szCs w:val="20"/>
                <w:highlight w:val="none"/>
                <w:lang w:val="en-US" w:eastAsia="zh-CN"/>
              </w:rPr>
              <w:t>项目、高校师生创业就业创新及北斗规模应用项目、以县城为重要载体的城镇化试点支持项目、废旧物资回收循环利用专项项目、重大投资项目前期工作经费项目投资计划下达时间</w:t>
            </w:r>
          </w:p>
        </w:tc>
        <w:tc>
          <w:tcPr>
            <w:tcW w:w="1675" w:type="dxa"/>
            <w:shd w:val="clear" w:color="auto" w:fill="auto"/>
            <w:noWrap w:val="0"/>
            <w:vAlign w:val="center"/>
          </w:tcPr>
          <w:p w14:paraId="6B6E97B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5个工作日之内转发下达</w:t>
            </w:r>
          </w:p>
        </w:tc>
        <w:tc>
          <w:tcPr>
            <w:tcW w:w="2193" w:type="dxa"/>
            <w:shd w:val="clear" w:color="auto" w:fill="auto"/>
            <w:noWrap w:val="0"/>
            <w:vAlign w:val="center"/>
          </w:tcPr>
          <w:p w14:paraId="698E021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基本在</w:t>
            </w:r>
            <w:r>
              <w:rPr>
                <w:rFonts w:hint="eastAsia" w:ascii="Times New Roman" w:hAnsi="Times New Roman" w:eastAsia="仿宋" w:cs="Times New Roman"/>
                <w:color w:val="auto"/>
                <w:sz w:val="20"/>
                <w:szCs w:val="20"/>
                <w:highlight w:val="none"/>
                <w:lang w:val="en-US" w:eastAsia="zh-CN"/>
              </w:rPr>
              <w:t>5个工作日之内转发下达</w:t>
            </w:r>
          </w:p>
        </w:tc>
        <w:tc>
          <w:tcPr>
            <w:tcW w:w="832" w:type="dxa"/>
            <w:shd w:val="clear" w:color="auto" w:fill="auto"/>
            <w:noWrap w:val="0"/>
            <w:vAlign w:val="center"/>
          </w:tcPr>
          <w:p w14:paraId="6CB5251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3</w:t>
            </w:r>
          </w:p>
        </w:tc>
        <w:tc>
          <w:tcPr>
            <w:tcW w:w="955" w:type="dxa"/>
            <w:shd w:val="clear" w:color="auto" w:fill="auto"/>
            <w:noWrap w:val="0"/>
            <w:vAlign w:val="center"/>
          </w:tcPr>
          <w:p w14:paraId="2E2FAA5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2.8</w:t>
            </w:r>
          </w:p>
        </w:tc>
        <w:tc>
          <w:tcPr>
            <w:tcW w:w="1681" w:type="dxa"/>
            <w:shd w:val="clear" w:color="auto" w:fill="auto"/>
            <w:noWrap w:val="0"/>
            <w:vAlign w:val="center"/>
          </w:tcPr>
          <w:p w14:paraId="507093F5">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个别县市未在</w:t>
            </w:r>
            <w:r>
              <w:rPr>
                <w:rFonts w:hint="eastAsia" w:ascii="Times New Roman" w:hAnsi="Times New Roman" w:eastAsia="仿宋" w:cs="Times New Roman"/>
                <w:color w:val="auto"/>
                <w:sz w:val="20"/>
                <w:szCs w:val="20"/>
                <w:highlight w:val="none"/>
                <w:lang w:val="en-US" w:eastAsia="zh-CN"/>
              </w:rPr>
              <w:t>5个工作日之内转发下达</w:t>
            </w:r>
            <w:r>
              <w:rPr>
                <w:rFonts w:hint="eastAsia" w:eastAsia="仿宋" w:cs="Times New Roman"/>
                <w:color w:val="auto"/>
                <w:sz w:val="20"/>
                <w:szCs w:val="20"/>
                <w:highlight w:val="none"/>
                <w:lang w:val="en-US" w:eastAsia="zh-CN"/>
              </w:rPr>
              <w:t>投资计划。</w:t>
            </w:r>
          </w:p>
        </w:tc>
      </w:tr>
      <w:tr w14:paraId="5484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1C1143B">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4C6C2DC">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D059515">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3AA84F80">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资金指标下达率</w:t>
            </w:r>
          </w:p>
        </w:tc>
        <w:tc>
          <w:tcPr>
            <w:tcW w:w="1675" w:type="dxa"/>
            <w:shd w:val="clear" w:color="auto" w:fill="auto"/>
            <w:noWrap w:val="0"/>
            <w:vAlign w:val="center"/>
          </w:tcPr>
          <w:p w14:paraId="5FD7FE27">
            <w:pPr>
              <w:widowControl/>
              <w:spacing w:line="240" w:lineRule="exact"/>
              <w:jc w:val="both"/>
              <w:rPr>
                <w:rFonts w:hint="eastAsia"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①财政统筹资金项目、落实重大战略和重大事项其他建设项目、省属公办本科高校学生宿舍建设项目、“五好园区”建设项目、高校师生创业就业创新及北斗规模应用项目、以县城为重要载体的城镇化试点支持项目、废旧物资回收循环利用专项项目、重大投资项目前期工作经费项目资金项目指标下达率≥90%；</w:t>
            </w:r>
          </w:p>
          <w:p w14:paraId="7683F587">
            <w:pPr>
              <w:widowControl/>
              <w:spacing w:line="240" w:lineRule="exact"/>
              <w:jc w:val="both"/>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②旅游发展大会</w:t>
            </w:r>
            <w:r>
              <w:rPr>
                <w:rFonts w:hint="eastAsia" w:eastAsia="仿宋" w:cs="Times New Roman"/>
                <w:color w:val="auto"/>
                <w:sz w:val="20"/>
                <w:szCs w:val="20"/>
                <w:highlight w:val="none"/>
                <w:lang w:val="en-US" w:eastAsia="zh-CN"/>
              </w:rPr>
              <w:t>支持</w:t>
            </w:r>
            <w:r>
              <w:rPr>
                <w:rFonts w:hint="eastAsia" w:ascii="Times New Roman" w:hAnsi="Times New Roman" w:eastAsia="仿宋" w:cs="Times New Roman"/>
                <w:color w:val="auto"/>
                <w:sz w:val="20"/>
                <w:szCs w:val="20"/>
                <w:highlight w:val="none"/>
                <w:lang w:val="en-US" w:eastAsia="zh-CN"/>
              </w:rPr>
              <w:t>项目资金指标下达率100%</w:t>
            </w:r>
            <w:r>
              <w:rPr>
                <w:rFonts w:hint="eastAsia" w:eastAsia="仿宋" w:cs="Times New Roman"/>
                <w:color w:val="auto"/>
                <w:sz w:val="20"/>
                <w:szCs w:val="20"/>
                <w:highlight w:val="none"/>
                <w:lang w:val="en-US" w:eastAsia="zh-CN"/>
              </w:rPr>
              <w:t>。</w:t>
            </w:r>
          </w:p>
        </w:tc>
        <w:tc>
          <w:tcPr>
            <w:tcW w:w="2193" w:type="dxa"/>
            <w:shd w:val="clear" w:color="auto" w:fill="auto"/>
            <w:noWrap w:val="0"/>
            <w:vAlign w:val="center"/>
          </w:tcPr>
          <w:p w14:paraId="1D71EC8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100%</w:t>
            </w:r>
          </w:p>
        </w:tc>
        <w:tc>
          <w:tcPr>
            <w:tcW w:w="832" w:type="dxa"/>
            <w:shd w:val="clear" w:color="auto" w:fill="auto"/>
            <w:noWrap w:val="0"/>
            <w:vAlign w:val="center"/>
          </w:tcPr>
          <w:p w14:paraId="5C102FD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3</w:t>
            </w:r>
          </w:p>
        </w:tc>
        <w:tc>
          <w:tcPr>
            <w:tcW w:w="955" w:type="dxa"/>
            <w:shd w:val="clear" w:color="auto" w:fill="auto"/>
            <w:noWrap w:val="0"/>
            <w:vAlign w:val="center"/>
          </w:tcPr>
          <w:p w14:paraId="0DE9EC8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3</w:t>
            </w:r>
          </w:p>
        </w:tc>
        <w:tc>
          <w:tcPr>
            <w:tcW w:w="1681" w:type="dxa"/>
            <w:shd w:val="clear" w:color="auto" w:fill="auto"/>
            <w:noWrap w:val="0"/>
            <w:vAlign w:val="center"/>
          </w:tcPr>
          <w:p w14:paraId="6542C20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1DB6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3151D7EA">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15F6CB9">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1BFB7C6">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51343CC">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2024年项目完工率</w:t>
            </w:r>
          </w:p>
        </w:tc>
        <w:tc>
          <w:tcPr>
            <w:tcW w:w="1675" w:type="dxa"/>
            <w:shd w:val="clear" w:color="auto" w:fill="auto"/>
            <w:noWrap w:val="0"/>
            <w:vAlign w:val="center"/>
          </w:tcPr>
          <w:p w14:paraId="01C658F2">
            <w:pPr>
              <w:widowControl/>
              <w:spacing w:line="240" w:lineRule="exact"/>
              <w:jc w:val="both"/>
              <w:rPr>
                <w:rFonts w:hint="eastAsia"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①落实重大战略和重大事项其他建设项目、省属公办本科高校学生宿舍建设项目、2024年项目完工率≥40%；</w:t>
            </w:r>
          </w:p>
          <w:p w14:paraId="0567F90D">
            <w:pPr>
              <w:widowControl/>
              <w:spacing w:line="240" w:lineRule="exact"/>
              <w:jc w:val="both"/>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②旅游发展大会</w:t>
            </w:r>
            <w:r>
              <w:rPr>
                <w:rFonts w:hint="eastAsia" w:eastAsia="仿宋" w:cs="Times New Roman"/>
                <w:color w:val="auto"/>
                <w:sz w:val="20"/>
                <w:szCs w:val="20"/>
                <w:highlight w:val="none"/>
                <w:lang w:val="en-US" w:eastAsia="zh-CN"/>
              </w:rPr>
              <w:t>支持</w:t>
            </w:r>
            <w:r>
              <w:rPr>
                <w:rFonts w:hint="eastAsia" w:ascii="Times New Roman" w:hAnsi="Times New Roman" w:eastAsia="仿宋" w:cs="Times New Roman"/>
                <w:color w:val="auto"/>
                <w:sz w:val="20"/>
                <w:szCs w:val="20"/>
                <w:highlight w:val="none"/>
                <w:lang w:val="en-US" w:eastAsia="zh-CN"/>
              </w:rPr>
              <w:t>项目2024年项目完工率100%</w:t>
            </w:r>
            <w:r>
              <w:rPr>
                <w:rFonts w:hint="eastAsia" w:eastAsia="仿宋" w:cs="Times New Roman"/>
                <w:color w:val="auto"/>
                <w:sz w:val="20"/>
                <w:szCs w:val="20"/>
                <w:highlight w:val="none"/>
                <w:lang w:val="en-US" w:eastAsia="zh-CN"/>
              </w:rPr>
              <w:t>。</w:t>
            </w:r>
          </w:p>
        </w:tc>
        <w:tc>
          <w:tcPr>
            <w:tcW w:w="2193" w:type="dxa"/>
            <w:shd w:val="clear" w:color="auto" w:fill="auto"/>
            <w:noWrap w:val="0"/>
            <w:vAlign w:val="center"/>
          </w:tcPr>
          <w:p w14:paraId="7C25D785">
            <w:pPr>
              <w:widowControl/>
              <w:spacing w:line="240" w:lineRule="exact"/>
              <w:jc w:val="both"/>
              <w:rPr>
                <w:rFonts w:hint="eastAsia"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①落实重大战略和重大事项其他建设项目、省属公办本科高校学生宿舍建设项目、2024年项目完工率</w:t>
            </w:r>
            <w:r>
              <w:rPr>
                <w:rFonts w:hint="eastAsia" w:eastAsia="仿宋" w:cs="Times New Roman"/>
                <w:color w:val="auto"/>
                <w:sz w:val="20"/>
                <w:szCs w:val="20"/>
                <w:highlight w:val="none"/>
                <w:lang w:val="en-US" w:eastAsia="zh-CN"/>
              </w:rPr>
              <w:t>42.86</w:t>
            </w:r>
            <w:r>
              <w:rPr>
                <w:rFonts w:hint="eastAsia" w:ascii="Times New Roman" w:hAnsi="Times New Roman" w:eastAsia="仿宋" w:cs="Times New Roman"/>
                <w:color w:val="auto"/>
                <w:sz w:val="20"/>
                <w:szCs w:val="20"/>
                <w:highlight w:val="none"/>
                <w:lang w:val="en-US" w:eastAsia="zh-CN"/>
              </w:rPr>
              <w:t>%；</w:t>
            </w:r>
          </w:p>
          <w:p w14:paraId="44E6A02F">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②旅游发展大会</w:t>
            </w:r>
            <w:r>
              <w:rPr>
                <w:rFonts w:hint="eastAsia" w:eastAsia="仿宋" w:cs="Times New Roman"/>
                <w:color w:val="auto"/>
                <w:sz w:val="20"/>
                <w:szCs w:val="20"/>
                <w:highlight w:val="none"/>
                <w:lang w:val="en-US" w:eastAsia="zh-CN"/>
              </w:rPr>
              <w:t>支持</w:t>
            </w:r>
            <w:r>
              <w:rPr>
                <w:rFonts w:hint="eastAsia" w:ascii="Times New Roman" w:hAnsi="Times New Roman" w:eastAsia="仿宋" w:cs="Times New Roman"/>
                <w:color w:val="auto"/>
                <w:sz w:val="20"/>
                <w:szCs w:val="20"/>
                <w:highlight w:val="none"/>
                <w:lang w:val="en-US" w:eastAsia="zh-CN"/>
              </w:rPr>
              <w:t>项目2024年项目完工率100%</w:t>
            </w:r>
            <w:r>
              <w:rPr>
                <w:rFonts w:hint="eastAsia" w:eastAsia="仿宋" w:cs="Times New Roman"/>
                <w:color w:val="auto"/>
                <w:sz w:val="20"/>
                <w:szCs w:val="20"/>
                <w:highlight w:val="none"/>
                <w:lang w:val="en-US" w:eastAsia="zh-CN"/>
              </w:rPr>
              <w:t>。</w:t>
            </w:r>
          </w:p>
        </w:tc>
        <w:tc>
          <w:tcPr>
            <w:tcW w:w="832" w:type="dxa"/>
            <w:shd w:val="clear" w:color="auto" w:fill="auto"/>
            <w:noWrap w:val="0"/>
            <w:vAlign w:val="center"/>
          </w:tcPr>
          <w:p w14:paraId="52F3649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3</w:t>
            </w:r>
          </w:p>
        </w:tc>
        <w:tc>
          <w:tcPr>
            <w:tcW w:w="955" w:type="dxa"/>
            <w:shd w:val="clear" w:color="auto" w:fill="auto"/>
            <w:noWrap w:val="0"/>
            <w:vAlign w:val="center"/>
          </w:tcPr>
          <w:p w14:paraId="611FE32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3</w:t>
            </w:r>
          </w:p>
        </w:tc>
        <w:tc>
          <w:tcPr>
            <w:tcW w:w="1681" w:type="dxa"/>
            <w:shd w:val="clear" w:color="auto" w:fill="auto"/>
            <w:noWrap w:val="0"/>
            <w:vAlign w:val="center"/>
          </w:tcPr>
          <w:p w14:paraId="0F267F5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1464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0F2F7A9">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DB39A9C">
            <w:pPr>
              <w:jc w:val="center"/>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53B25D0">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5C622E0">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省级储备粮仓储建设项目按期完工率</w:t>
            </w:r>
          </w:p>
        </w:tc>
        <w:tc>
          <w:tcPr>
            <w:tcW w:w="1675" w:type="dxa"/>
            <w:shd w:val="clear" w:color="auto" w:fill="auto"/>
            <w:noWrap w:val="0"/>
            <w:vAlign w:val="center"/>
          </w:tcPr>
          <w:p w14:paraId="3D60A12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≥75%</w:t>
            </w:r>
          </w:p>
        </w:tc>
        <w:tc>
          <w:tcPr>
            <w:tcW w:w="2193" w:type="dxa"/>
            <w:shd w:val="clear" w:color="auto" w:fill="auto"/>
            <w:noWrap w:val="0"/>
            <w:vAlign w:val="center"/>
          </w:tcPr>
          <w:p w14:paraId="4AE234A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75%</w:t>
            </w:r>
          </w:p>
        </w:tc>
        <w:tc>
          <w:tcPr>
            <w:tcW w:w="832" w:type="dxa"/>
            <w:shd w:val="clear" w:color="auto" w:fill="auto"/>
            <w:noWrap w:val="0"/>
            <w:vAlign w:val="center"/>
          </w:tcPr>
          <w:p w14:paraId="5E04845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1164B47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0587889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4334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064F03C">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restart"/>
            <w:shd w:val="clear" w:color="auto" w:fill="auto"/>
            <w:noWrap w:val="0"/>
            <w:vAlign w:val="center"/>
          </w:tcPr>
          <w:p w14:paraId="6FCE403E">
            <w:pPr>
              <w:widowControl/>
              <w:jc w:val="center"/>
              <w:rPr>
                <w:rFonts w:hint="eastAsia"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成本指标</w:t>
            </w:r>
          </w:p>
          <w:p w14:paraId="5CF65D88">
            <w:pPr>
              <w:widowControl/>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_GB2312" w:cs="Times New Roman"/>
                <w:color w:val="auto"/>
                <w:sz w:val="20"/>
                <w:szCs w:val="20"/>
                <w:highlight w:val="none"/>
                <w:lang w:val="en-US" w:eastAsia="zh-CN"/>
              </w:rPr>
              <w:t>（10分）</w:t>
            </w:r>
          </w:p>
        </w:tc>
        <w:tc>
          <w:tcPr>
            <w:tcW w:w="1534" w:type="dxa"/>
            <w:vMerge w:val="restart"/>
            <w:shd w:val="clear" w:color="auto" w:fill="auto"/>
            <w:noWrap w:val="0"/>
            <w:vAlign w:val="center"/>
          </w:tcPr>
          <w:p w14:paraId="02F91290">
            <w:pPr>
              <w:widowControl/>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经济成本指标</w:t>
            </w:r>
          </w:p>
        </w:tc>
        <w:tc>
          <w:tcPr>
            <w:tcW w:w="2804" w:type="dxa"/>
            <w:shd w:val="clear" w:color="auto" w:fill="auto"/>
            <w:noWrap w:val="0"/>
            <w:vAlign w:val="center"/>
          </w:tcPr>
          <w:p w14:paraId="6F88B456">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财政统筹资金项目、落实重大战略和重大事项其他建设项目、省属公办本科高校学生宿舍建设项目、“五好园区”建设项目、旅游发展大会支持项目、省级储备粮仓储建设项目、高校师生创业就业创新及北斗规模应用项目、以县城为重要载体的城镇化试点支持项目、废旧物资回收循环利用专项项目、重大投资项目前期工作经费实际投资占计划投资比</w:t>
            </w:r>
          </w:p>
        </w:tc>
        <w:tc>
          <w:tcPr>
            <w:tcW w:w="1675" w:type="dxa"/>
            <w:shd w:val="clear" w:color="auto" w:fill="auto"/>
            <w:noWrap w:val="0"/>
            <w:vAlign w:val="center"/>
          </w:tcPr>
          <w:p w14:paraId="6086A0A4">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≤100%</w:t>
            </w:r>
          </w:p>
        </w:tc>
        <w:tc>
          <w:tcPr>
            <w:tcW w:w="2193" w:type="dxa"/>
            <w:shd w:val="clear" w:color="auto" w:fill="auto"/>
            <w:noWrap w:val="0"/>
            <w:vAlign w:val="center"/>
          </w:tcPr>
          <w:p w14:paraId="21CBB9F8">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≤100%</w:t>
            </w:r>
          </w:p>
        </w:tc>
        <w:tc>
          <w:tcPr>
            <w:tcW w:w="832" w:type="dxa"/>
            <w:shd w:val="clear" w:color="auto" w:fill="auto"/>
            <w:noWrap w:val="0"/>
            <w:vAlign w:val="center"/>
          </w:tcPr>
          <w:p w14:paraId="1D1E0DCC">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2</w:t>
            </w:r>
          </w:p>
        </w:tc>
        <w:tc>
          <w:tcPr>
            <w:tcW w:w="955" w:type="dxa"/>
            <w:shd w:val="clear" w:color="auto" w:fill="auto"/>
            <w:noWrap w:val="0"/>
            <w:vAlign w:val="center"/>
          </w:tcPr>
          <w:p w14:paraId="4EAE311C">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2</w:t>
            </w:r>
          </w:p>
        </w:tc>
        <w:tc>
          <w:tcPr>
            <w:tcW w:w="1681" w:type="dxa"/>
            <w:shd w:val="clear" w:color="auto" w:fill="auto"/>
            <w:noWrap w:val="0"/>
            <w:vAlign w:val="center"/>
          </w:tcPr>
          <w:p w14:paraId="41D11EB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3EAA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3BF3429D">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D4AEB30">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0A35FE90">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62C36C7">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前期费用支出实际费用占安排费用比</w:t>
            </w:r>
          </w:p>
        </w:tc>
        <w:tc>
          <w:tcPr>
            <w:tcW w:w="1675" w:type="dxa"/>
            <w:shd w:val="clear" w:color="auto" w:fill="auto"/>
            <w:noWrap w:val="0"/>
            <w:vAlign w:val="center"/>
          </w:tcPr>
          <w:p w14:paraId="48876B9B">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≤100%</w:t>
            </w:r>
          </w:p>
        </w:tc>
        <w:tc>
          <w:tcPr>
            <w:tcW w:w="2193" w:type="dxa"/>
            <w:shd w:val="clear" w:color="auto" w:fill="auto"/>
            <w:noWrap w:val="0"/>
            <w:vAlign w:val="center"/>
          </w:tcPr>
          <w:p w14:paraId="643EBD5A">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≤100%</w:t>
            </w:r>
          </w:p>
        </w:tc>
        <w:tc>
          <w:tcPr>
            <w:tcW w:w="832" w:type="dxa"/>
            <w:shd w:val="clear" w:color="auto" w:fill="auto"/>
            <w:noWrap w:val="0"/>
            <w:vAlign w:val="center"/>
          </w:tcPr>
          <w:p w14:paraId="4E5BA117">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5292D811">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6CC05A4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5876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6BFA8394">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C5780AB">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220B47C5">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DD53B71">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财政统筹资金项目、落实重大战略和重大事项其他建设项目、省属公办本科高校学生宿舍建设项目、旅游发展大会支持、以县城为重要载体的城镇化试点支持项目、废旧物资回收循环利用专项项目工程变更率</w:t>
            </w:r>
          </w:p>
        </w:tc>
        <w:tc>
          <w:tcPr>
            <w:tcW w:w="1675" w:type="dxa"/>
            <w:shd w:val="clear" w:color="auto" w:fill="auto"/>
            <w:noWrap w:val="0"/>
            <w:vAlign w:val="center"/>
          </w:tcPr>
          <w:p w14:paraId="547414F2">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≤15%</w:t>
            </w:r>
          </w:p>
        </w:tc>
        <w:tc>
          <w:tcPr>
            <w:tcW w:w="2193" w:type="dxa"/>
            <w:shd w:val="clear" w:color="auto" w:fill="auto"/>
            <w:noWrap w:val="0"/>
            <w:vAlign w:val="center"/>
          </w:tcPr>
          <w:p w14:paraId="7A60C920">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≤15%</w:t>
            </w:r>
          </w:p>
        </w:tc>
        <w:tc>
          <w:tcPr>
            <w:tcW w:w="832" w:type="dxa"/>
            <w:shd w:val="clear" w:color="auto" w:fill="auto"/>
            <w:noWrap w:val="0"/>
            <w:vAlign w:val="center"/>
          </w:tcPr>
          <w:p w14:paraId="76901289">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2</w:t>
            </w:r>
          </w:p>
        </w:tc>
        <w:tc>
          <w:tcPr>
            <w:tcW w:w="955" w:type="dxa"/>
            <w:shd w:val="clear" w:color="auto" w:fill="auto"/>
            <w:noWrap w:val="0"/>
            <w:vAlign w:val="center"/>
          </w:tcPr>
          <w:p w14:paraId="5A046B74">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2</w:t>
            </w:r>
          </w:p>
        </w:tc>
        <w:tc>
          <w:tcPr>
            <w:tcW w:w="1681" w:type="dxa"/>
            <w:shd w:val="clear" w:color="auto" w:fill="auto"/>
            <w:noWrap w:val="0"/>
            <w:vAlign w:val="center"/>
          </w:tcPr>
          <w:p w14:paraId="22052AB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0FAE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323EF35A">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AE9D318">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608CE735">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D8BE277">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落实有关文件规定奖励资金项目单个奖补金额</w:t>
            </w:r>
          </w:p>
        </w:tc>
        <w:tc>
          <w:tcPr>
            <w:tcW w:w="1675" w:type="dxa"/>
            <w:shd w:val="clear" w:color="auto" w:fill="auto"/>
            <w:noWrap w:val="0"/>
            <w:vAlign w:val="center"/>
          </w:tcPr>
          <w:p w14:paraId="5C6A9A4D">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≤200万元</w:t>
            </w:r>
          </w:p>
        </w:tc>
        <w:tc>
          <w:tcPr>
            <w:tcW w:w="2193" w:type="dxa"/>
            <w:shd w:val="clear" w:color="auto" w:fill="auto"/>
            <w:noWrap w:val="0"/>
            <w:vAlign w:val="center"/>
          </w:tcPr>
          <w:p w14:paraId="315E4F54">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≤200万元</w:t>
            </w:r>
          </w:p>
        </w:tc>
        <w:tc>
          <w:tcPr>
            <w:tcW w:w="832" w:type="dxa"/>
            <w:shd w:val="clear" w:color="auto" w:fill="auto"/>
            <w:noWrap w:val="0"/>
            <w:vAlign w:val="center"/>
          </w:tcPr>
          <w:p w14:paraId="2E72E04E">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16892835">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46C20CBC">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p>
        </w:tc>
      </w:tr>
      <w:tr w14:paraId="5268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BD4C096">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DE13DDF">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restart"/>
            <w:shd w:val="clear" w:color="auto" w:fill="auto"/>
            <w:noWrap w:val="0"/>
            <w:vAlign w:val="center"/>
          </w:tcPr>
          <w:p w14:paraId="6E5BE5B5">
            <w:pPr>
              <w:widowControl/>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生态环境成本指标</w:t>
            </w:r>
          </w:p>
        </w:tc>
        <w:tc>
          <w:tcPr>
            <w:tcW w:w="2804" w:type="dxa"/>
            <w:shd w:val="clear" w:color="auto" w:fill="auto"/>
            <w:noWrap w:val="0"/>
            <w:vAlign w:val="center"/>
          </w:tcPr>
          <w:p w14:paraId="273C9725">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财政统筹资金项目、落实重大战略和重大事项其他建设项目、省属公办本科高校学生宿舍建设项目、“五好园区”建设项目、旅游发展大会支持项目、高校师生创业就业创新及北斗规模应用项目、废旧物资回收循环利用专项项目</w:t>
            </w:r>
            <w:r>
              <w:rPr>
                <w:rFonts w:hint="eastAsia" w:eastAsia="仿宋" w:cs="Times New Roman"/>
                <w:color w:val="auto"/>
                <w:sz w:val="20"/>
                <w:szCs w:val="20"/>
                <w:highlight w:val="none"/>
                <w:lang w:val="en-US" w:eastAsia="zh-CN"/>
              </w:rPr>
              <w:t>、</w:t>
            </w:r>
            <w:r>
              <w:rPr>
                <w:rFonts w:hint="eastAsia" w:ascii="Times New Roman" w:hAnsi="Times New Roman" w:eastAsia="仿宋" w:cs="Times New Roman"/>
                <w:color w:val="auto"/>
                <w:sz w:val="20"/>
                <w:szCs w:val="20"/>
                <w:highlight w:val="none"/>
                <w:lang w:val="en-US" w:eastAsia="zh-CN"/>
              </w:rPr>
              <w:t>重大投资项目前期工作经费项目建设过程中重大环境污染事项发生率</w:t>
            </w:r>
          </w:p>
        </w:tc>
        <w:tc>
          <w:tcPr>
            <w:tcW w:w="1675" w:type="dxa"/>
            <w:shd w:val="clear" w:color="auto" w:fill="auto"/>
            <w:noWrap w:val="0"/>
            <w:vAlign w:val="center"/>
          </w:tcPr>
          <w:p w14:paraId="492FDDC8">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0%</w:t>
            </w:r>
          </w:p>
        </w:tc>
        <w:tc>
          <w:tcPr>
            <w:tcW w:w="2193" w:type="dxa"/>
            <w:shd w:val="clear" w:color="auto" w:fill="auto"/>
            <w:noWrap w:val="0"/>
            <w:vAlign w:val="center"/>
          </w:tcPr>
          <w:p w14:paraId="03AD7934">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0%</w:t>
            </w:r>
          </w:p>
        </w:tc>
        <w:tc>
          <w:tcPr>
            <w:tcW w:w="832" w:type="dxa"/>
            <w:shd w:val="clear" w:color="auto" w:fill="auto"/>
            <w:noWrap w:val="0"/>
            <w:vAlign w:val="center"/>
          </w:tcPr>
          <w:p w14:paraId="6C5A99F3">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3</w:t>
            </w:r>
          </w:p>
        </w:tc>
        <w:tc>
          <w:tcPr>
            <w:tcW w:w="955" w:type="dxa"/>
            <w:shd w:val="clear" w:color="auto" w:fill="auto"/>
            <w:noWrap w:val="0"/>
            <w:vAlign w:val="center"/>
          </w:tcPr>
          <w:p w14:paraId="30359D92">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3</w:t>
            </w:r>
          </w:p>
        </w:tc>
        <w:tc>
          <w:tcPr>
            <w:tcW w:w="1681" w:type="dxa"/>
            <w:shd w:val="clear" w:color="auto" w:fill="auto"/>
            <w:noWrap w:val="0"/>
            <w:vAlign w:val="center"/>
          </w:tcPr>
          <w:p w14:paraId="25CFD71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1BA1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80A5A00">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7B7EC965">
            <w:pPr>
              <w:keepNext w:val="0"/>
              <w:keepLines w:val="0"/>
              <w:widowControl/>
              <w:suppressLineNumbers w:val="0"/>
              <w:jc w:val="center"/>
              <w:textAlignment w:val="center"/>
              <w:rPr>
                <w:rFonts w:hint="eastAsia" w:eastAsia="仿宋_GB2312" w:cs="Times New Roman"/>
                <w:color w:val="auto"/>
                <w:sz w:val="20"/>
                <w:szCs w:val="20"/>
                <w:highlight w:val="none"/>
                <w:lang w:val="en-US" w:eastAsia="zh-CN"/>
              </w:rPr>
            </w:pPr>
          </w:p>
        </w:tc>
        <w:tc>
          <w:tcPr>
            <w:tcW w:w="1534" w:type="dxa"/>
            <w:vMerge w:val="continue"/>
            <w:shd w:val="clear" w:color="auto" w:fill="auto"/>
            <w:noWrap w:val="0"/>
            <w:vAlign w:val="center"/>
          </w:tcPr>
          <w:p w14:paraId="5676CDAB">
            <w:pPr>
              <w:keepNext w:val="0"/>
              <w:keepLines w:val="0"/>
              <w:widowControl/>
              <w:suppressLineNumbers w:val="0"/>
              <w:jc w:val="left"/>
              <w:textAlignment w:val="center"/>
              <w:rPr>
                <w:rFonts w:hint="eastAsia"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AC72B15">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省级储备粮仓储建设项目仓储运输环节降损</w:t>
            </w:r>
          </w:p>
        </w:tc>
        <w:tc>
          <w:tcPr>
            <w:tcW w:w="1675" w:type="dxa"/>
            <w:shd w:val="clear" w:color="auto" w:fill="auto"/>
            <w:noWrap w:val="0"/>
            <w:vAlign w:val="center"/>
          </w:tcPr>
          <w:p w14:paraId="3A8D573D">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稳步降低</w:t>
            </w:r>
          </w:p>
        </w:tc>
        <w:tc>
          <w:tcPr>
            <w:tcW w:w="2193" w:type="dxa"/>
            <w:shd w:val="clear" w:color="auto" w:fill="auto"/>
            <w:noWrap w:val="0"/>
            <w:vAlign w:val="center"/>
          </w:tcPr>
          <w:p w14:paraId="60EA440E">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稳步降低</w:t>
            </w:r>
          </w:p>
        </w:tc>
        <w:tc>
          <w:tcPr>
            <w:tcW w:w="832" w:type="dxa"/>
            <w:shd w:val="clear" w:color="auto" w:fill="auto"/>
            <w:noWrap w:val="0"/>
            <w:vAlign w:val="center"/>
          </w:tcPr>
          <w:p w14:paraId="54697AAA">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955" w:type="dxa"/>
            <w:shd w:val="clear" w:color="auto" w:fill="auto"/>
            <w:noWrap w:val="0"/>
            <w:vAlign w:val="center"/>
          </w:tcPr>
          <w:p w14:paraId="0CD973CC">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1</w:t>
            </w:r>
          </w:p>
        </w:tc>
        <w:tc>
          <w:tcPr>
            <w:tcW w:w="1681" w:type="dxa"/>
            <w:shd w:val="clear" w:color="auto" w:fill="auto"/>
            <w:noWrap w:val="0"/>
            <w:vAlign w:val="center"/>
          </w:tcPr>
          <w:p w14:paraId="0E093E4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3839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21FB9F31">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restart"/>
            <w:shd w:val="clear" w:color="auto" w:fill="auto"/>
            <w:noWrap w:val="0"/>
            <w:vAlign w:val="center"/>
          </w:tcPr>
          <w:p w14:paraId="39BFEE23">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效益指标</w:t>
            </w:r>
          </w:p>
          <w:p w14:paraId="6D7CB05F">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_GB2312" w:cs="Times New Roman"/>
                <w:color w:val="auto"/>
                <w:sz w:val="20"/>
                <w:szCs w:val="20"/>
                <w:highlight w:val="none"/>
                <w:lang w:val="en-US" w:eastAsia="zh-CN"/>
              </w:rPr>
              <w:t>（30分）</w:t>
            </w:r>
          </w:p>
        </w:tc>
        <w:tc>
          <w:tcPr>
            <w:tcW w:w="1534" w:type="dxa"/>
            <w:vMerge w:val="restart"/>
            <w:shd w:val="clear" w:color="auto" w:fill="auto"/>
            <w:noWrap w:val="0"/>
            <w:vAlign w:val="center"/>
          </w:tcPr>
          <w:p w14:paraId="15BAF62C">
            <w:pPr>
              <w:keepNext w:val="0"/>
              <w:keepLines w:val="0"/>
              <w:widowControl/>
              <w:suppressLineNumbers w:val="0"/>
              <w:jc w:val="lef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经济效益指标</w:t>
            </w:r>
          </w:p>
        </w:tc>
        <w:tc>
          <w:tcPr>
            <w:tcW w:w="2804" w:type="dxa"/>
            <w:shd w:val="clear" w:color="auto" w:fill="auto"/>
            <w:noWrap w:val="0"/>
            <w:vAlign w:val="center"/>
          </w:tcPr>
          <w:p w14:paraId="3081EC09">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拉动固定资产投资</w:t>
            </w:r>
          </w:p>
        </w:tc>
        <w:tc>
          <w:tcPr>
            <w:tcW w:w="1675" w:type="dxa"/>
            <w:shd w:val="clear" w:color="auto" w:fill="auto"/>
            <w:noWrap w:val="0"/>
            <w:vAlign w:val="center"/>
          </w:tcPr>
          <w:p w14:paraId="475EBD7D">
            <w:pPr>
              <w:widowControl/>
              <w:spacing w:line="240" w:lineRule="exact"/>
              <w:jc w:val="both"/>
              <w:rPr>
                <w:rFonts w:hint="eastAsia" w:ascii="Times New Roman" w:hAnsi="Times New Roman" w:eastAsia="仿宋" w:cs="Times New Roman"/>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①</w:t>
            </w:r>
            <w:r>
              <w:rPr>
                <w:rFonts w:hint="eastAsia" w:ascii="Times New Roman" w:hAnsi="Times New Roman" w:eastAsia="仿宋" w:cs="Times New Roman"/>
                <w:color w:val="auto"/>
                <w:sz w:val="20"/>
                <w:szCs w:val="20"/>
                <w:highlight w:val="none"/>
                <w:lang w:val="en-US" w:eastAsia="zh-CN"/>
              </w:rPr>
              <w:t>财政统筹资金项目拉动固定资产投资≥5亿；</w:t>
            </w:r>
          </w:p>
          <w:p w14:paraId="3B38F8D4">
            <w:pPr>
              <w:widowControl/>
              <w:spacing w:line="240" w:lineRule="exact"/>
              <w:jc w:val="both"/>
              <w:rPr>
                <w:rFonts w:hint="eastAsia" w:ascii="Times New Roman" w:hAnsi="Times New Roman" w:eastAsia="仿宋" w:cs="Times New Roman"/>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②</w:t>
            </w:r>
            <w:r>
              <w:rPr>
                <w:rFonts w:hint="eastAsia" w:ascii="Times New Roman" w:hAnsi="Times New Roman" w:eastAsia="仿宋" w:cs="Times New Roman"/>
                <w:color w:val="auto"/>
                <w:sz w:val="20"/>
                <w:szCs w:val="20"/>
                <w:highlight w:val="none"/>
                <w:lang w:val="en-US" w:eastAsia="zh-CN"/>
              </w:rPr>
              <w:t>落实重大战略和重大事项其他建设项目拉动固定资产投资≥4.7亿；</w:t>
            </w:r>
          </w:p>
          <w:p w14:paraId="36C31326">
            <w:pPr>
              <w:widowControl/>
              <w:spacing w:line="240" w:lineRule="exact"/>
              <w:jc w:val="both"/>
              <w:rPr>
                <w:rFonts w:hint="eastAsia"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③省属公办本科高校学生宿舍建设项目、“五好园区”建设项目分别拉动固定资产投资≥5000万元；</w:t>
            </w:r>
          </w:p>
          <w:p w14:paraId="1DD2D37A">
            <w:pPr>
              <w:widowControl/>
              <w:spacing w:line="240" w:lineRule="exact"/>
              <w:jc w:val="both"/>
              <w:rPr>
                <w:rFonts w:hint="eastAsia"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④旅游发展大会</w:t>
            </w:r>
            <w:r>
              <w:rPr>
                <w:rFonts w:hint="eastAsia" w:eastAsia="仿宋" w:cs="Times New Roman"/>
                <w:color w:val="auto"/>
                <w:sz w:val="20"/>
                <w:szCs w:val="20"/>
                <w:highlight w:val="none"/>
                <w:lang w:val="en-US" w:eastAsia="zh-CN"/>
              </w:rPr>
              <w:t>支持</w:t>
            </w:r>
            <w:r>
              <w:rPr>
                <w:rFonts w:hint="eastAsia" w:ascii="Times New Roman" w:hAnsi="Times New Roman" w:eastAsia="仿宋" w:cs="Times New Roman"/>
                <w:color w:val="auto"/>
                <w:sz w:val="20"/>
                <w:szCs w:val="20"/>
                <w:highlight w:val="none"/>
                <w:lang w:val="en-US" w:eastAsia="zh-CN"/>
              </w:rPr>
              <w:t>项目拉动固定资产投资≥2000万元；</w:t>
            </w:r>
          </w:p>
          <w:p w14:paraId="22FFE610">
            <w:pPr>
              <w:widowControl/>
              <w:spacing w:line="240" w:lineRule="exact"/>
              <w:jc w:val="both"/>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⑤废旧物资回收循环利用专项项目拉动固定资产投资≥1亿。</w:t>
            </w:r>
          </w:p>
        </w:tc>
        <w:tc>
          <w:tcPr>
            <w:tcW w:w="2193" w:type="dxa"/>
            <w:shd w:val="clear" w:color="auto" w:fill="auto"/>
            <w:noWrap w:val="0"/>
            <w:vAlign w:val="center"/>
          </w:tcPr>
          <w:p w14:paraId="54BD9D67">
            <w:pPr>
              <w:widowControl/>
              <w:spacing w:line="240" w:lineRule="exact"/>
              <w:jc w:val="both"/>
              <w:rPr>
                <w:rFonts w:hint="eastAsia" w:ascii="Times New Roman" w:hAnsi="Times New Roman" w:eastAsia="仿宋" w:cs="Times New Roman"/>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①</w:t>
            </w:r>
            <w:r>
              <w:rPr>
                <w:rFonts w:hint="eastAsia" w:ascii="Times New Roman" w:hAnsi="Times New Roman" w:eastAsia="仿宋" w:cs="Times New Roman"/>
                <w:color w:val="auto"/>
                <w:sz w:val="20"/>
                <w:szCs w:val="20"/>
                <w:highlight w:val="none"/>
                <w:lang w:val="en-US" w:eastAsia="zh-CN"/>
              </w:rPr>
              <w:t>财政统筹资金项目拉动固定资产投资5</w:t>
            </w:r>
            <w:r>
              <w:rPr>
                <w:rFonts w:hint="eastAsia" w:eastAsia="仿宋" w:cs="Times New Roman"/>
                <w:color w:val="auto"/>
                <w:sz w:val="20"/>
                <w:szCs w:val="20"/>
                <w:highlight w:val="none"/>
                <w:lang w:val="en-US" w:eastAsia="zh-CN"/>
              </w:rPr>
              <w:t>.3</w:t>
            </w:r>
            <w:r>
              <w:rPr>
                <w:rFonts w:hint="eastAsia" w:ascii="Times New Roman" w:hAnsi="Times New Roman" w:eastAsia="仿宋" w:cs="Times New Roman"/>
                <w:color w:val="auto"/>
                <w:sz w:val="20"/>
                <w:szCs w:val="20"/>
                <w:highlight w:val="none"/>
                <w:lang w:val="en-US" w:eastAsia="zh-CN"/>
              </w:rPr>
              <w:t>亿；</w:t>
            </w:r>
          </w:p>
          <w:p w14:paraId="44CF98EF">
            <w:pPr>
              <w:widowControl/>
              <w:spacing w:line="240" w:lineRule="exact"/>
              <w:jc w:val="both"/>
              <w:rPr>
                <w:rFonts w:hint="eastAsia" w:ascii="Times New Roman" w:hAnsi="Times New Roman" w:eastAsia="仿宋" w:cs="Times New Roman"/>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②</w:t>
            </w:r>
            <w:r>
              <w:rPr>
                <w:rFonts w:hint="eastAsia" w:ascii="Times New Roman" w:hAnsi="Times New Roman" w:eastAsia="仿宋" w:cs="Times New Roman"/>
                <w:color w:val="auto"/>
                <w:sz w:val="20"/>
                <w:szCs w:val="20"/>
                <w:highlight w:val="none"/>
                <w:lang w:val="en-US" w:eastAsia="zh-CN"/>
              </w:rPr>
              <w:t>落实重大战略和重大事项其他建设项目拉动固定资产投资4.</w:t>
            </w:r>
            <w:r>
              <w:rPr>
                <w:rFonts w:hint="eastAsia" w:eastAsia="仿宋" w:cs="Times New Roman"/>
                <w:color w:val="auto"/>
                <w:sz w:val="20"/>
                <w:szCs w:val="20"/>
                <w:highlight w:val="none"/>
                <w:lang w:val="en-US" w:eastAsia="zh-CN"/>
              </w:rPr>
              <w:t>7</w:t>
            </w:r>
            <w:r>
              <w:rPr>
                <w:rFonts w:hint="eastAsia" w:ascii="Times New Roman" w:hAnsi="Times New Roman" w:eastAsia="仿宋" w:cs="Times New Roman"/>
                <w:color w:val="auto"/>
                <w:sz w:val="20"/>
                <w:szCs w:val="20"/>
                <w:highlight w:val="none"/>
                <w:lang w:val="en-US" w:eastAsia="zh-CN"/>
              </w:rPr>
              <w:t>7亿；</w:t>
            </w:r>
          </w:p>
          <w:p w14:paraId="54D28D7C">
            <w:pPr>
              <w:widowControl/>
              <w:spacing w:line="240" w:lineRule="exact"/>
              <w:jc w:val="both"/>
              <w:rPr>
                <w:rFonts w:hint="eastAsia"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③省属公办本科高校学生宿舍建设项目拉动固定资产投资15681.9</w:t>
            </w:r>
            <w:r>
              <w:rPr>
                <w:rFonts w:hint="eastAsia" w:eastAsia="仿宋" w:cs="Times New Roman"/>
                <w:color w:val="auto"/>
                <w:sz w:val="20"/>
                <w:szCs w:val="20"/>
                <w:highlight w:val="none"/>
                <w:lang w:val="en-US" w:eastAsia="zh-CN"/>
              </w:rPr>
              <w:t>6万元，</w:t>
            </w:r>
            <w:r>
              <w:rPr>
                <w:rFonts w:hint="eastAsia" w:ascii="Times New Roman" w:hAnsi="Times New Roman" w:eastAsia="仿宋" w:cs="Times New Roman"/>
                <w:color w:val="auto"/>
                <w:sz w:val="20"/>
                <w:szCs w:val="20"/>
                <w:highlight w:val="none"/>
                <w:lang w:val="en-US" w:eastAsia="zh-CN"/>
              </w:rPr>
              <w:t>“五好园区”建设项目拉动固定资产投资847171.83万元；</w:t>
            </w:r>
          </w:p>
          <w:p w14:paraId="5A5CC178">
            <w:pPr>
              <w:widowControl/>
              <w:spacing w:line="240" w:lineRule="exact"/>
              <w:jc w:val="both"/>
              <w:rPr>
                <w:rFonts w:hint="eastAsia"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④旅游发展大会</w:t>
            </w:r>
            <w:r>
              <w:rPr>
                <w:rFonts w:hint="eastAsia" w:eastAsia="仿宋" w:cs="Times New Roman"/>
                <w:color w:val="auto"/>
                <w:sz w:val="20"/>
                <w:szCs w:val="20"/>
                <w:highlight w:val="none"/>
                <w:lang w:val="en-US" w:eastAsia="zh-CN"/>
              </w:rPr>
              <w:t>支持</w:t>
            </w:r>
            <w:r>
              <w:rPr>
                <w:rFonts w:hint="eastAsia" w:ascii="Times New Roman" w:hAnsi="Times New Roman" w:eastAsia="仿宋" w:cs="Times New Roman"/>
                <w:color w:val="auto"/>
                <w:sz w:val="20"/>
                <w:szCs w:val="20"/>
                <w:highlight w:val="none"/>
                <w:lang w:val="en-US" w:eastAsia="zh-CN"/>
              </w:rPr>
              <w:t>项目拉动固定资产投资2099.86万元；</w:t>
            </w:r>
          </w:p>
          <w:p w14:paraId="29913CFD">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⑤废旧物资回收循环利用专项项目拉动固定资产投资41</w:t>
            </w:r>
            <w:r>
              <w:rPr>
                <w:rFonts w:hint="eastAsia" w:eastAsia="仿宋" w:cs="Times New Roman"/>
                <w:color w:val="auto"/>
                <w:sz w:val="20"/>
                <w:szCs w:val="20"/>
                <w:highlight w:val="none"/>
                <w:lang w:val="en-US" w:eastAsia="zh-CN"/>
              </w:rPr>
              <w:t>.</w:t>
            </w:r>
            <w:r>
              <w:rPr>
                <w:rFonts w:hint="eastAsia" w:ascii="Times New Roman" w:hAnsi="Times New Roman" w:eastAsia="仿宋" w:cs="Times New Roman"/>
                <w:color w:val="auto"/>
                <w:sz w:val="20"/>
                <w:szCs w:val="20"/>
                <w:highlight w:val="none"/>
                <w:lang w:val="en-US" w:eastAsia="zh-CN"/>
              </w:rPr>
              <w:t>61亿。</w:t>
            </w:r>
          </w:p>
        </w:tc>
        <w:tc>
          <w:tcPr>
            <w:tcW w:w="832" w:type="dxa"/>
            <w:shd w:val="clear" w:color="auto" w:fill="auto"/>
            <w:noWrap w:val="0"/>
            <w:vAlign w:val="center"/>
          </w:tcPr>
          <w:p w14:paraId="4B5CEAE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6</w:t>
            </w:r>
          </w:p>
        </w:tc>
        <w:tc>
          <w:tcPr>
            <w:tcW w:w="955" w:type="dxa"/>
            <w:shd w:val="clear" w:color="auto" w:fill="auto"/>
            <w:noWrap w:val="0"/>
            <w:vAlign w:val="center"/>
          </w:tcPr>
          <w:p w14:paraId="63D75E4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6</w:t>
            </w:r>
          </w:p>
        </w:tc>
        <w:tc>
          <w:tcPr>
            <w:tcW w:w="1681" w:type="dxa"/>
            <w:shd w:val="clear" w:color="auto" w:fill="auto"/>
            <w:noWrap w:val="0"/>
            <w:vAlign w:val="center"/>
          </w:tcPr>
          <w:p w14:paraId="07545D1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443B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524BEAE">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7A17DF2">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D48B237">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37E50F97">
            <w:pPr>
              <w:widowControl/>
              <w:spacing w:line="240" w:lineRule="exact"/>
              <w:jc w:val="both"/>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落实有关文件规定奖励资金项目支持各市州新开工重大项目数量</w:t>
            </w:r>
          </w:p>
        </w:tc>
        <w:tc>
          <w:tcPr>
            <w:tcW w:w="1675" w:type="dxa"/>
            <w:shd w:val="clear" w:color="auto" w:fill="auto"/>
            <w:noWrap w:val="0"/>
            <w:vAlign w:val="center"/>
          </w:tcPr>
          <w:p w14:paraId="3B9CE4D5">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≥20个</w:t>
            </w:r>
          </w:p>
        </w:tc>
        <w:tc>
          <w:tcPr>
            <w:tcW w:w="2193" w:type="dxa"/>
            <w:shd w:val="clear" w:color="auto" w:fill="auto"/>
            <w:noWrap w:val="0"/>
            <w:vAlign w:val="center"/>
          </w:tcPr>
          <w:p w14:paraId="30AF61C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sz w:val="20"/>
                <w:szCs w:val="20"/>
                <w:highlight w:val="none"/>
                <w:lang w:val="en-US" w:eastAsia="zh-CN"/>
              </w:rPr>
              <w:t>20个</w:t>
            </w:r>
          </w:p>
        </w:tc>
        <w:tc>
          <w:tcPr>
            <w:tcW w:w="832" w:type="dxa"/>
            <w:shd w:val="clear" w:color="auto" w:fill="auto"/>
            <w:noWrap w:val="0"/>
            <w:vAlign w:val="center"/>
          </w:tcPr>
          <w:p w14:paraId="3965D85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3BED0A4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71BBFF8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4548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DBD28AC">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E1DCC40">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12AD87B">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49392B39">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省级储备粮仓储建设项目粮食产业经济运行效率</w:t>
            </w:r>
          </w:p>
        </w:tc>
        <w:tc>
          <w:tcPr>
            <w:tcW w:w="1675" w:type="dxa"/>
            <w:shd w:val="clear" w:color="auto" w:fill="auto"/>
            <w:noWrap w:val="0"/>
            <w:vAlign w:val="center"/>
          </w:tcPr>
          <w:p w14:paraId="63BA3AA8">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稳步提高</w:t>
            </w:r>
          </w:p>
        </w:tc>
        <w:tc>
          <w:tcPr>
            <w:tcW w:w="2193" w:type="dxa"/>
            <w:shd w:val="clear" w:color="auto" w:fill="auto"/>
            <w:noWrap w:val="0"/>
            <w:vAlign w:val="center"/>
          </w:tcPr>
          <w:p w14:paraId="191C2B0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稳步提高</w:t>
            </w:r>
          </w:p>
        </w:tc>
        <w:tc>
          <w:tcPr>
            <w:tcW w:w="832" w:type="dxa"/>
            <w:shd w:val="clear" w:color="auto" w:fill="auto"/>
            <w:noWrap w:val="0"/>
            <w:vAlign w:val="center"/>
          </w:tcPr>
          <w:p w14:paraId="58029B3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6EA7852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13CB6F0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51DD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8FC9BC3">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773A90A">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A708377">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2599BFA">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高校师生创业就业创新及北斗规模应用项目拉动社会投资</w:t>
            </w:r>
          </w:p>
        </w:tc>
        <w:tc>
          <w:tcPr>
            <w:tcW w:w="1675" w:type="dxa"/>
            <w:shd w:val="clear" w:color="auto" w:fill="auto"/>
            <w:noWrap w:val="0"/>
            <w:vAlign w:val="center"/>
          </w:tcPr>
          <w:p w14:paraId="701FD46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≥1亿</w:t>
            </w:r>
          </w:p>
        </w:tc>
        <w:tc>
          <w:tcPr>
            <w:tcW w:w="2193" w:type="dxa"/>
            <w:shd w:val="clear" w:color="auto" w:fill="auto"/>
            <w:noWrap w:val="0"/>
            <w:vAlign w:val="center"/>
          </w:tcPr>
          <w:p w14:paraId="6269231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kern w:val="2"/>
                <w:sz w:val="20"/>
                <w:szCs w:val="20"/>
                <w:highlight w:val="none"/>
                <w:lang w:val="en-US" w:eastAsia="zh-CN" w:bidi="ar-SA"/>
              </w:rPr>
              <w:t>1</w:t>
            </w:r>
            <w:r>
              <w:rPr>
                <w:rFonts w:hint="eastAsia" w:eastAsia="仿宋" w:cs="Times New Roman"/>
                <w:color w:val="auto"/>
                <w:kern w:val="2"/>
                <w:sz w:val="20"/>
                <w:szCs w:val="20"/>
                <w:highlight w:val="none"/>
                <w:lang w:val="en-US" w:eastAsia="zh-CN" w:bidi="ar-SA"/>
              </w:rPr>
              <w:t>.</w:t>
            </w:r>
            <w:r>
              <w:rPr>
                <w:rFonts w:hint="default" w:ascii="Times New Roman" w:hAnsi="Times New Roman" w:eastAsia="仿宋" w:cs="Times New Roman"/>
                <w:color w:val="auto"/>
                <w:kern w:val="2"/>
                <w:sz w:val="20"/>
                <w:szCs w:val="20"/>
                <w:highlight w:val="none"/>
                <w:lang w:val="en-US" w:eastAsia="zh-CN" w:bidi="ar-SA"/>
              </w:rPr>
              <w:t>38</w:t>
            </w:r>
            <w:r>
              <w:rPr>
                <w:rFonts w:hint="eastAsia" w:ascii="Times New Roman" w:hAnsi="Times New Roman" w:eastAsia="仿宋" w:cs="Times New Roman"/>
                <w:color w:val="auto"/>
                <w:sz w:val="20"/>
                <w:szCs w:val="20"/>
                <w:highlight w:val="none"/>
                <w:lang w:val="en-US" w:eastAsia="zh-CN"/>
              </w:rPr>
              <w:t>亿</w:t>
            </w:r>
          </w:p>
        </w:tc>
        <w:tc>
          <w:tcPr>
            <w:tcW w:w="832" w:type="dxa"/>
            <w:shd w:val="clear" w:color="auto" w:fill="auto"/>
            <w:noWrap w:val="0"/>
            <w:vAlign w:val="center"/>
          </w:tcPr>
          <w:p w14:paraId="2222A26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0.5</w:t>
            </w:r>
          </w:p>
        </w:tc>
        <w:tc>
          <w:tcPr>
            <w:tcW w:w="955" w:type="dxa"/>
            <w:shd w:val="clear" w:color="auto" w:fill="auto"/>
            <w:noWrap w:val="0"/>
            <w:vAlign w:val="center"/>
          </w:tcPr>
          <w:p w14:paraId="40367C4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0.5</w:t>
            </w:r>
          </w:p>
        </w:tc>
        <w:tc>
          <w:tcPr>
            <w:tcW w:w="1681" w:type="dxa"/>
            <w:shd w:val="clear" w:color="auto" w:fill="auto"/>
            <w:noWrap w:val="0"/>
            <w:vAlign w:val="center"/>
          </w:tcPr>
          <w:p w14:paraId="1FC2E1C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4D7C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81FC67B">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380E331">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6AD6DA5">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627DC66">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高校师生创业就业创新及北斗规模应用</w:t>
            </w:r>
            <w:r>
              <w:rPr>
                <w:rFonts w:hint="eastAsia" w:eastAsia="仿宋" w:cs="Times New Roman"/>
                <w:color w:val="auto"/>
                <w:sz w:val="20"/>
                <w:szCs w:val="20"/>
                <w:highlight w:val="none"/>
                <w:lang w:val="en-US" w:eastAsia="zh-CN"/>
              </w:rPr>
              <w:t>项目</w:t>
            </w:r>
            <w:r>
              <w:rPr>
                <w:rFonts w:hint="eastAsia" w:ascii="Times New Roman" w:hAnsi="Times New Roman" w:eastAsia="仿宋" w:cs="Times New Roman"/>
                <w:color w:val="auto"/>
                <w:sz w:val="20"/>
                <w:szCs w:val="20"/>
                <w:highlight w:val="none"/>
                <w:lang w:val="en-US" w:eastAsia="zh-CN"/>
              </w:rPr>
              <w:t>带动全省北斗产业发展</w:t>
            </w:r>
          </w:p>
        </w:tc>
        <w:tc>
          <w:tcPr>
            <w:tcW w:w="1675" w:type="dxa"/>
            <w:shd w:val="clear" w:color="auto" w:fill="auto"/>
            <w:noWrap w:val="0"/>
            <w:vAlign w:val="center"/>
          </w:tcPr>
          <w:p w14:paraId="289E70D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2024年全省北斗产业规模增长≥5%</w:t>
            </w:r>
          </w:p>
        </w:tc>
        <w:tc>
          <w:tcPr>
            <w:tcW w:w="2193" w:type="dxa"/>
            <w:shd w:val="clear" w:color="auto" w:fill="auto"/>
            <w:noWrap w:val="0"/>
            <w:vAlign w:val="center"/>
          </w:tcPr>
          <w:p w14:paraId="2750CB6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35.5%</w:t>
            </w:r>
          </w:p>
        </w:tc>
        <w:tc>
          <w:tcPr>
            <w:tcW w:w="832" w:type="dxa"/>
            <w:shd w:val="clear" w:color="auto" w:fill="auto"/>
            <w:noWrap w:val="0"/>
            <w:vAlign w:val="center"/>
          </w:tcPr>
          <w:p w14:paraId="19E7844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0.5</w:t>
            </w:r>
          </w:p>
        </w:tc>
        <w:tc>
          <w:tcPr>
            <w:tcW w:w="955" w:type="dxa"/>
            <w:shd w:val="clear" w:color="auto" w:fill="auto"/>
            <w:noWrap w:val="0"/>
            <w:vAlign w:val="center"/>
          </w:tcPr>
          <w:p w14:paraId="2B59B18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0.5</w:t>
            </w:r>
          </w:p>
        </w:tc>
        <w:tc>
          <w:tcPr>
            <w:tcW w:w="1681" w:type="dxa"/>
            <w:shd w:val="clear" w:color="auto" w:fill="auto"/>
            <w:noWrap w:val="0"/>
            <w:vAlign w:val="center"/>
          </w:tcPr>
          <w:p w14:paraId="2F2BE0D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6C4E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5FA537D">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9504C7E">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15FC6403">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48E1E4A">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重大投资项目前期工作经费支持项目争取中央资金</w:t>
            </w:r>
          </w:p>
        </w:tc>
        <w:tc>
          <w:tcPr>
            <w:tcW w:w="1675" w:type="dxa"/>
            <w:shd w:val="clear" w:color="auto" w:fill="auto"/>
            <w:noWrap w:val="0"/>
            <w:vAlign w:val="center"/>
          </w:tcPr>
          <w:p w14:paraId="5C7A48C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≥25亿</w:t>
            </w:r>
          </w:p>
        </w:tc>
        <w:tc>
          <w:tcPr>
            <w:tcW w:w="2193" w:type="dxa"/>
            <w:shd w:val="clear" w:color="auto" w:fill="auto"/>
            <w:noWrap w:val="0"/>
            <w:vAlign w:val="center"/>
          </w:tcPr>
          <w:p w14:paraId="3B05221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25</w:t>
            </w:r>
            <w:r>
              <w:rPr>
                <w:rFonts w:hint="eastAsia" w:eastAsia="仿宋" w:cs="Times New Roman"/>
                <w:color w:val="auto"/>
                <w:sz w:val="20"/>
                <w:szCs w:val="20"/>
                <w:highlight w:val="none"/>
                <w:lang w:val="en-US" w:eastAsia="zh-CN"/>
              </w:rPr>
              <w:t>.03</w:t>
            </w:r>
            <w:r>
              <w:rPr>
                <w:rFonts w:hint="eastAsia" w:ascii="Times New Roman" w:hAnsi="Times New Roman" w:eastAsia="仿宋" w:cs="Times New Roman"/>
                <w:color w:val="auto"/>
                <w:sz w:val="20"/>
                <w:szCs w:val="20"/>
                <w:highlight w:val="none"/>
                <w:lang w:val="en-US" w:eastAsia="zh-CN"/>
              </w:rPr>
              <w:t>亿</w:t>
            </w:r>
          </w:p>
        </w:tc>
        <w:tc>
          <w:tcPr>
            <w:tcW w:w="832" w:type="dxa"/>
            <w:shd w:val="clear" w:color="auto" w:fill="auto"/>
            <w:noWrap w:val="0"/>
            <w:vAlign w:val="center"/>
          </w:tcPr>
          <w:p w14:paraId="78643DA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5432BD1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6402019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2A07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6CC600A2">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CFD889C">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restart"/>
            <w:shd w:val="clear" w:color="auto" w:fill="auto"/>
            <w:noWrap w:val="0"/>
            <w:vAlign w:val="center"/>
          </w:tcPr>
          <w:p w14:paraId="50D768D0">
            <w:pPr>
              <w:keepNext w:val="0"/>
              <w:keepLines w:val="0"/>
              <w:widowControl/>
              <w:suppressLineNumbers w:val="0"/>
              <w:jc w:val="lef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社会效益指标</w:t>
            </w:r>
          </w:p>
        </w:tc>
        <w:tc>
          <w:tcPr>
            <w:tcW w:w="2804" w:type="dxa"/>
            <w:shd w:val="clear" w:color="auto" w:fill="auto"/>
            <w:noWrap w:val="0"/>
            <w:vAlign w:val="center"/>
          </w:tcPr>
          <w:p w14:paraId="5FAA6A75">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财政统筹资金支持公共基础设施项目建成后年度服务人数</w:t>
            </w:r>
          </w:p>
        </w:tc>
        <w:tc>
          <w:tcPr>
            <w:tcW w:w="1675" w:type="dxa"/>
            <w:shd w:val="clear" w:color="auto" w:fill="auto"/>
            <w:noWrap w:val="0"/>
            <w:vAlign w:val="center"/>
          </w:tcPr>
          <w:p w14:paraId="386F7972">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≥1000万人次</w:t>
            </w:r>
          </w:p>
        </w:tc>
        <w:tc>
          <w:tcPr>
            <w:tcW w:w="2193" w:type="dxa"/>
            <w:shd w:val="clear" w:color="auto" w:fill="auto"/>
            <w:noWrap w:val="0"/>
            <w:vAlign w:val="center"/>
          </w:tcPr>
          <w:p w14:paraId="3180A7F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default" w:ascii="Times New Roman" w:hAnsi="Times New Roman" w:eastAsia="仿宋" w:cs="Times New Roman"/>
                <w:color w:val="auto"/>
                <w:kern w:val="2"/>
                <w:sz w:val="20"/>
                <w:szCs w:val="20"/>
                <w:highlight w:val="none"/>
                <w:lang w:val="en-US" w:eastAsia="zh-CN" w:bidi="ar-SA"/>
              </w:rPr>
              <w:t>20100万</w:t>
            </w:r>
            <w:r>
              <w:rPr>
                <w:rFonts w:hint="eastAsia" w:ascii="Times New Roman" w:hAnsi="Times New Roman" w:eastAsia="仿宋" w:cs="Times New Roman"/>
                <w:color w:val="auto"/>
                <w:sz w:val="20"/>
                <w:szCs w:val="20"/>
                <w:highlight w:val="none"/>
                <w:lang w:val="en-US" w:eastAsia="zh-CN"/>
              </w:rPr>
              <w:t>人次</w:t>
            </w:r>
          </w:p>
        </w:tc>
        <w:tc>
          <w:tcPr>
            <w:tcW w:w="832" w:type="dxa"/>
            <w:shd w:val="clear" w:color="auto" w:fill="auto"/>
            <w:noWrap w:val="0"/>
            <w:vAlign w:val="center"/>
          </w:tcPr>
          <w:p w14:paraId="03DD546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955" w:type="dxa"/>
            <w:shd w:val="clear" w:color="auto" w:fill="auto"/>
            <w:noWrap w:val="0"/>
            <w:vAlign w:val="center"/>
          </w:tcPr>
          <w:p w14:paraId="02B7F1C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1681" w:type="dxa"/>
            <w:shd w:val="clear" w:color="auto" w:fill="auto"/>
            <w:noWrap w:val="0"/>
            <w:vAlign w:val="center"/>
          </w:tcPr>
          <w:p w14:paraId="23EE01F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0588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4CD9AF1A">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05F6EE7E">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9F96DF8">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56D861C9">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前期费用支出项目社会公众对省发展改革委制定的政策知晓率</w:t>
            </w:r>
          </w:p>
        </w:tc>
        <w:tc>
          <w:tcPr>
            <w:tcW w:w="1675" w:type="dxa"/>
            <w:shd w:val="clear" w:color="auto" w:fill="auto"/>
            <w:noWrap w:val="0"/>
            <w:vAlign w:val="center"/>
          </w:tcPr>
          <w:p w14:paraId="029514FD">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上升</w:t>
            </w:r>
          </w:p>
        </w:tc>
        <w:tc>
          <w:tcPr>
            <w:tcW w:w="2193" w:type="dxa"/>
            <w:shd w:val="clear" w:color="auto" w:fill="auto"/>
            <w:noWrap w:val="0"/>
            <w:vAlign w:val="center"/>
          </w:tcPr>
          <w:p w14:paraId="7D8B2A6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上升</w:t>
            </w:r>
          </w:p>
        </w:tc>
        <w:tc>
          <w:tcPr>
            <w:tcW w:w="832" w:type="dxa"/>
            <w:shd w:val="clear" w:color="auto" w:fill="auto"/>
            <w:noWrap w:val="0"/>
            <w:vAlign w:val="center"/>
          </w:tcPr>
          <w:p w14:paraId="6D2439F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955" w:type="dxa"/>
            <w:shd w:val="clear" w:color="auto" w:fill="auto"/>
            <w:noWrap w:val="0"/>
            <w:vAlign w:val="center"/>
          </w:tcPr>
          <w:p w14:paraId="0FC848B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1681" w:type="dxa"/>
            <w:shd w:val="clear" w:color="auto" w:fill="auto"/>
            <w:noWrap w:val="0"/>
            <w:vAlign w:val="center"/>
          </w:tcPr>
          <w:p w14:paraId="5E96972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346A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29FF24E7">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0CDCE4E">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69E3ACB">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5DE11E3">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“五好园区”建设项目园区承载能力</w:t>
            </w:r>
          </w:p>
        </w:tc>
        <w:tc>
          <w:tcPr>
            <w:tcW w:w="1675" w:type="dxa"/>
            <w:shd w:val="clear" w:color="auto" w:fill="auto"/>
            <w:noWrap w:val="0"/>
            <w:vAlign w:val="center"/>
          </w:tcPr>
          <w:p w14:paraId="225612AF">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明显提升</w:t>
            </w:r>
          </w:p>
        </w:tc>
        <w:tc>
          <w:tcPr>
            <w:tcW w:w="2193" w:type="dxa"/>
            <w:shd w:val="clear" w:color="auto" w:fill="auto"/>
            <w:noWrap w:val="0"/>
            <w:vAlign w:val="center"/>
          </w:tcPr>
          <w:p w14:paraId="798901E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明显提升</w:t>
            </w:r>
          </w:p>
        </w:tc>
        <w:tc>
          <w:tcPr>
            <w:tcW w:w="832" w:type="dxa"/>
            <w:shd w:val="clear" w:color="auto" w:fill="auto"/>
            <w:noWrap w:val="0"/>
            <w:vAlign w:val="center"/>
          </w:tcPr>
          <w:p w14:paraId="722CB2B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955" w:type="dxa"/>
            <w:shd w:val="clear" w:color="auto" w:fill="auto"/>
            <w:noWrap w:val="0"/>
            <w:vAlign w:val="center"/>
          </w:tcPr>
          <w:p w14:paraId="41AD6A4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1681" w:type="dxa"/>
            <w:shd w:val="clear" w:color="auto" w:fill="auto"/>
            <w:noWrap w:val="0"/>
            <w:vAlign w:val="center"/>
          </w:tcPr>
          <w:p w14:paraId="4144722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4A1D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05CB06CA">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5FB524DB">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7A14EBD">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A5EE0C9">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省级储备粮仓储建设项目方便农民售粮</w:t>
            </w:r>
          </w:p>
        </w:tc>
        <w:tc>
          <w:tcPr>
            <w:tcW w:w="1675" w:type="dxa"/>
            <w:shd w:val="clear" w:color="auto" w:fill="auto"/>
            <w:noWrap w:val="0"/>
            <w:vAlign w:val="center"/>
          </w:tcPr>
          <w:p w14:paraId="6BF8508D">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更加便捷</w:t>
            </w:r>
          </w:p>
        </w:tc>
        <w:tc>
          <w:tcPr>
            <w:tcW w:w="2193" w:type="dxa"/>
            <w:shd w:val="clear" w:color="auto" w:fill="auto"/>
            <w:noWrap w:val="0"/>
            <w:vAlign w:val="center"/>
          </w:tcPr>
          <w:p w14:paraId="77A9790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更加便捷</w:t>
            </w:r>
          </w:p>
        </w:tc>
        <w:tc>
          <w:tcPr>
            <w:tcW w:w="832" w:type="dxa"/>
            <w:shd w:val="clear" w:color="auto" w:fill="auto"/>
            <w:noWrap w:val="0"/>
            <w:vAlign w:val="center"/>
          </w:tcPr>
          <w:p w14:paraId="23E9CDA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955" w:type="dxa"/>
            <w:shd w:val="clear" w:color="auto" w:fill="auto"/>
            <w:noWrap w:val="0"/>
            <w:vAlign w:val="center"/>
          </w:tcPr>
          <w:p w14:paraId="2162A16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1681" w:type="dxa"/>
            <w:shd w:val="clear" w:color="auto" w:fill="auto"/>
            <w:noWrap w:val="0"/>
            <w:vAlign w:val="center"/>
          </w:tcPr>
          <w:p w14:paraId="5CFEFD7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3150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40DA94C">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B5B533C">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A4CDB72">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08851D5F">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高校师生创业就业创新及北斗规模应用</w:t>
            </w:r>
            <w:r>
              <w:rPr>
                <w:rFonts w:hint="eastAsia" w:eastAsia="仿宋" w:cs="Times New Roman"/>
                <w:color w:val="auto"/>
                <w:sz w:val="20"/>
                <w:szCs w:val="20"/>
                <w:highlight w:val="none"/>
                <w:lang w:val="en-US" w:eastAsia="zh-CN"/>
              </w:rPr>
              <w:t>项目</w:t>
            </w:r>
            <w:r>
              <w:rPr>
                <w:rFonts w:hint="eastAsia" w:ascii="Times New Roman" w:hAnsi="Times New Roman" w:eastAsia="仿宋" w:cs="Times New Roman"/>
                <w:color w:val="auto"/>
                <w:sz w:val="20"/>
                <w:szCs w:val="20"/>
                <w:highlight w:val="none"/>
                <w:lang w:val="en-US" w:eastAsia="zh-CN"/>
              </w:rPr>
              <w:t>建设服务高校师生等群体创业就业创新平台</w:t>
            </w:r>
          </w:p>
        </w:tc>
        <w:tc>
          <w:tcPr>
            <w:tcW w:w="1675" w:type="dxa"/>
            <w:shd w:val="clear" w:color="auto" w:fill="auto"/>
            <w:noWrap w:val="0"/>
            <w:vAlign w:val="center"/>
          </w:tcPr>
          <w:p w14:paraId="6521354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5个左右</w:t>
            </w:r>
          </w:p>
        </w:tc>
        <w:tc>
          <w:tcPr>
            <w:tcW w:w="2193" w:type="dxa"/>
            <w:shd w:val="clear" w:color="auto" w:fill="auto"/>
            <w:noWrap w:val="0"/>
            <w:vAlign w:val="center"/>
          </w:tcPr>
          <w:p w14:paraId="00C2535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5个</w:t>
            </w:r>
          </w:p>
        </w:tc>
        <w:tc>
          <w:tcPr>
            <w:tcW w:w="832" w:type="dxa"/>
            <w:shd w:val="clear" w:color="auto" w:fill="auto"/>
            <w:noWrap w:val="0"/>
            <w:vAlign w:val="center"/>
          </w:tcPr>
          <w:p w14:paraId="673FF59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50785C2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16158B7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62D8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431E84F1">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3E38945A">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55D10893">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560D16F2">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高校师生创业就业创新及北斗规模应用</w:t>
            </w:r>
            <w:r>
              <w:rPr>
                <w:rFonts w:hint="eastAsia" w:eastAsia="仿宋" w:cs="Times New Roman"/>
                <w:color w:val="auto"/>
                <w:sz w:val="20"/>
                <w:szCs w:val="20"/>
                <w:highlight w:val="none"/>
                <w:lang w:val="en-US" w:eastAsia="zh-CN"/>
              </w:rPr>
              <w:t>项目</w:t>
            </w:r>
            <w:r>
              <w:rPr>
                <w:rFonts w:hint="eastAsia" w:ascii="Times New Roman" w:hAnsi="Times New Roman" w:eastAsia="仿宋" w:cs="Times New Roman"/>
                <w:color w:val="auto"/>
                <w:sz w:val="20"/>
                <w:szCs w:val="20"/>
                <w:highlight w:val="none"/>
                <w:lang w:val="en-US" w:eastAsia="zh-CN"/>
              </w:rPr>
              <w:t>支持开展创业就业创新项目</w:t>
            </w:r>
          </w:p>
        </w:tc>
        <w:tc>
          <w:tcPr>
            <w:tcW w:w="1675" w:type="dxa"/>
            <w:shd w:val="clear" w:color="auto" w:fill="auto"/>
            <w:noWrap w:val="0"/>
            <w:vAlign w:val="center"/>
          </w:tcPr>
          <w:p w14:paraId="587D6C7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≥10个</w:t>
            </w:r>
          </w:p>
        </w:tc>
        <w:tc>
          <w:tcPr>
            <w:tcW w:w="2193" w:type="dxa"/>
            <w:shd w:val="clear" w:color="auto" w:fill="auto"/>
            <w:noWrap w:val="0"/>
            <w:vAlign w:val="center"/>
          </w:tcPr>
          <w:p w14:paraId="4502240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40</w:t>
            </w:r>
          </w:p>
        </w:tc>
        <w:tc>
          <w:tcPr>
            <w:tcW w:w="832" w:type="dxa"/>
            <w:shd w:val="clear" w:color="auto" w:fill="auto"/>
            <w:noWrap w:val="0"/>
            <w:vAlign w:val="center"/>
          </w:tcPr>
          <w:p w14:paraId="77357CC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327AC83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39EB51B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2AA1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1DEE2D79">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9CD1F36">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restart"/>
            <w:shd w:val="clear" w:color="auto" w:fill="auto"/>
            <w:noWrap w:val="0"/>
            <w:vAlign w:val="center"/>
          </w:tcPr>
          <w:p w14:paraId="1D212DAA">
            <w:pPr>
              <w:keepNext w:val="0"/>
              <w:keepLines w:val="0"/>
              <w:widowControl/>
              <w:suppressLineNumbers w:val="0"/>
              <w:jc w:val="lef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可持续影响指标</w:t>
            </w:r>
          </w:p>
        </w:tc>
        <w:tc>
          <w:tcPr>
            <w:tcW w:w="2804" w:type="dxa"/>
            <w:shd w:val="clear" w:color="auto" w:fill="auto"/>
            <w:noWrap w:val="0"/>
            <w:vAlign w:val="center"/>
          </w:tcPr>
          <w:p w14:paraId="5EA2F529">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落实重大战略和重大事项其他建设项目、省属公办本科高校学生宿舍建设项目、“五好园区”建设项目、旅游发展大会</w:t>
            </w:r>
            <w:r>
              <w:rPr>
                <w:rFonts w:hint="eastAsia" w:eastAsia="仿宋" w:cs="Times New Roman"/>
                <w:color w:val="auto"/>
                <w:sz w:val="20"/>
                <w:szCs w:val="20"/>
                <w:highlight w:val="none"/>
                <w:lang w:val="en-US" w:eastAsia="zh-CN"/>
              </w:rPr>
              <w:t>支持</w:t>
            </w:r>
            <w:r>
              <w:rPr>
                <w:rFonts w:hint="eastAsia" w:ascii="Times New Roman" w:hAnsi="Times New Roman" w:eastAsia="仿宋" w:cs="Times New Roman"/>
                <w:color w:val="auto"/>
                <w:sz w:val="20"/>
                <w:szCs w:val="20"/>
                <w:highlight w:val="none"/>
                <w:lang w:val="en-US" w:eastAsia="zh-CN"/>
              </w:rPr>
              <w:t>项目、高校师生创业就业创新及北斗规模应用</w:t>
            </w:r>
            <w:r>
              <w:rPr>
                <w:rFonts w:hint="eastAsia" w:eastAsia="仿宋" w:cs="Times New Roman"/>
                <w:color w:val="auto"/>
                <w:sz w:val="20"/>
                <w:szCs w:val="20"/>
                <w:highlight w:val="none"/>
                <w:lang w:val="en-US" w:eastAsia="zh-CN"/>
              </w:rPr>
              <w:t>项目、</w:t>
            </w:r>
            <w:r>
              <w:rPr>
                <w:rFonts w:hint="eastAsia" w:ascii="Times New Roman" w:hAnsi="Times New Roman" w:eastAsia="仿宋" w:cs="Times New Roman"/>
                <w:color w:val="auto"/>
                <w:sz w:val="20"/>
                <w:szCs w:val="20"/>
                <w:highlight w:val="none"/>
                <w:lang w:val="en-US" w:eastAsia="zh-CN"/>
              </w:rPr>
              <w:t>以县城为重要载体的城镇化试点支持项目、废旧物资回收循环利用专项项目、重大投资项目前期工作经费项目持续发挥作用</w:t>
            </w:r>
          </w:p>
        </w:tc>
        <w:tc>
          <w:tcPr>
            <w:tcW w:w="1675" w:type="dxa"/>
            <w:shd w:val="clear" w:color="auto" w:fill="auto"/>
            <w:noWrap w:val="0"/>
            <w:vAlign w:val="center"/>
          </w:tcPr>
          <w:p w14:paraId="30BAA98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≥90%</w:t>
            </w:r>
          </w:p>
        </w:tc>
        <w:tc>
          <w:tcPr>
            <w:tcW w:w="2193" w:type="dxa"/>
            <w:shd w:val="clear" w:color="auto" w:fill="auto"/>
            <w:noWrap w:val="0"/>
            <w:vAlign w:val="center"/>
          </w:tcPr>
          <w:p w14:paraId="6D87C3B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90%</w:t>
            </w:r>
          </w:p>
        </w:tc>
        <w:tc>
          <w:tcPr>
            <w:tcW w:w="832" w:type="dxa"/>
            <w:shd w:val="clear" w:color="auto" w:fill="auto"/>
            <w:noWrap w:val="0"/>
            <w:vAlign w:val="center"/>
          </w:tcPr>
          <w:p w14:paraId="5661D8E7">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955" w:type="dxa"/>
            <w:shd w:val="clear" w:color="auto" w:fill="auto"/>
            <w:noWrap w:val="0"/>
            <w:vAlign w:val="center"/>
          </w:tcPr>
          <w:p w14:paraId="0A1F10B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1681" w:type="dxa"/>
            <w:shd w:val="clear" w:color="auto" w:fill="auto"/>
            <w:noWrap w:val="0"/>
            <w:vAlign w:val="center"/>
          </w:tcPr>
          <w:p w14:paraId="5AABF2A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02C8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A429E7B">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78B65B21">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C439130">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A848A1F">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落实重大战略和重大事项其他建设项目、省属公办本科高校学生宿舍建设项目、旅游发展大会</w:t>
            </w:r>
            <w:r>
              <w:rPr>
                <w:rFonts w:hint="eastAsia" w:eastAsia="仿宋" w:cs="Times New Roman"/>
                <w:color w:val="auto"/>
                <w:sz w:val="20"/>
                <w:szCs w:val="20"/>
                <w:highlight w:val="none"/>
                <w:lang w:val="en-US" w:eastAsia="zh-CN"/>
              </w:rPr>
              <w:t>支持</w:t>
            </w:r>
            <w:r>
              <w:rPr>
                <w:rFonts w:hint="eastAsia" w:ascii="Times New Roman" w:hAnsi="Times New Roman" w:eastAsia="仿宋" w:cs="Times New Roman"/>
                <w:color w:val="auto"/>
                <w:sz w:val="20"/>
                <w:szCs w:val="20"/>
                <w:highlight w:val="none"/>
                <w:lang w:val="en-US" w:eastAsia="zh-CN"/>
              </w:rPr>
              <w:t>项目、废旧物资回收循环利用专项项目、重大投资项目前期工作经费项目对当地形象影响</w:t>
            </w:r>
          </w:p>
        </w:tc>
        <w:tc>
          <w:tcPr>
            <w:tcW w:w="1675" w:type="dxa"/>
            <w:shd w:val="clear" w:color="auto" w:fill="auto"/>
            <w:noWrap w:val="0"/>
            <w:vAlign w:val="center"/>
          </w:tcPr>
          <w:p w14:paraId="4C90D6C7">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有效提升</w:t>
            </w:r>
          </w:p>
        </w:tc>
        <w:tc>
          <w:tcPr>
            <w:tcW w:w="2193" w:type="dxa"/>
            <w:shd w:val="clear" w:color="auto" w:fill="auto"/>
            <w:noWrap w:val="0"/>
            <w:vAlign w:val="center"/>
          </w:tcPr>
          <w:p w14:paraId="3C0C8F6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有效提升</w:t>
            </w:r>
          </w:p>
        </w:tc>
        <w:tc>
          <w:tcPr>
            <w:tcW w:w="832" w:type="dxa"/>
            <w:shd w:val="clear" w:color="auto" w:fill="auto"/>
            <w:noWrap w:val="0"/>
            <w:vAlign w:val="center"/>
          </w:tcPr>
          <w:p w14:paraId="6B00312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955" w:type="dxa"/>
            <w:shd w:val="clear" w:color="auto" w:fill="auto"/>
            <w:noWrap w:val="0"/>
            <w:vAlign w:val="center"/>
          </w:tcPr>
          <w:p w14:paraId="57404F1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1681" w:type="dxa"/>
            <w:shd w:val="clear" w:color="auto" w:fill="auto"/>
            <w:noWrap w:val="0"/>
            <w:vAlign w:val="center"/>
          </w:tcPr>
          <w:p w14:paraId="503A201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6F4A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66FD498D">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469C49D5">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02D02EFD">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60DC641A">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前期费用支出项目印发正式文件并长期施行</w:t>
            </w:r>
          </w:p>
        </w:tc>
        <w:tc>
          <w:tcPr>
            <w:tcW w:w="1675" w:type="dxa"/>
            <w:shd w:val="clear" w:color="auto" w:fill="auto"/>
            <w:noWrap w:val="0"/>
            <w:vAlign w:val="center"/>
          </w:tcPr>
          <w:p w14:paraId="0E177B31">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≥5个</w:t>
            </w:r>
          </w:p>
        </w:tc>
        <w:tc>
          <w:tcPr>
            <w:tcW w:w="2193" w:type="dxa"/>
            <w:shd w:val="clear" w:color="auto" w:fill="auto"/>
            <w:noWrap w:val="0"/>
            <w:vAlign w:val="center"/>
          </w:tcPr>
          <w:p w14:paraId="585AC36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5个</w:t>
            </w:r>
          </w:p>
        </w:tc>
        <w:tc>
          <w:tcPr>
            <w:tcW w:w="832" w:type="dxa"/>
            <w:shd w:val="clear" w:color="auto" w:fill="auto"/>
            <w:noWrap w:val="0"/>
            <w:vAlign w:val="center"/>
          </w:tcPr>
          <w:p w14:paraId="07A148A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955" w:type="dxa"/>
            <w:shd w:val="clear" w:color="auto" w:fill="auto"/>
            <w:noWrap w:val="0"/>
            <w:vAlign w:val="center"/>
          </w:tcPr>
          <w:p w14:paraId="4444E141">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1681" w:type="dxa"/>
            <w:shd w:val="clear" w:color="auto" w:fill="auto"/>
            <w:noWrap w:val="0"/>
            <w:vAlign w:val="center"/>
          </w:tcPr>
          <w:p w14:paraId="1B883B1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1D55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29093DD6">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AAC98D7">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73DBEF9">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1D9B2AB">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省级储备粮仓储建设</w:t>
            </w:r>
            <w:r>
              <w:rPr>
                <w:rFonts w:hint="eastAsia" w:eastAsia="仿宋" w:cs="Times New Roman"/>
                <w:color w:val="auto"/>
                <w:sz w:val="20"/>
                <w:szCs w:val="20"/>
                <w:highlight w:val="none"/>
                <w:lang w:val="en-US" w:eastAsia="zh-CN"/>
              </w:rPr>
              <w:t>项目</w:t>
            </w:r>
            <w:r>
              <w:rPr>
                <w:rFonts w:hint="eastAsia" w:ascii="Times New Roman" w:hAnsi="Times New Roman" w:eastAsia="仿宋" w:cs="Times New Roman"/>
                <w:color w:val="auto"/>
                <w:sz w:val="20"/>
                <w:szCs w:val="20"/>
                <w:highlight w:val="none"/>
                <w:lang w:val="en-US" w:eastAsia="zh-CN"/>
              </w:rPr>
              <w:t>粮食收储质与量</w:t>
            </w:r>
          </w:p>
        </w:tc>
        <w:tc>
          <w:tcPr>
            <w:tcW w:w="1675" w:type="dxa"/>
            <w:shd w:val="clear" w:color="auto" w:fill="auto"/>
            <w:noWrap w:val="0"/>
            <w:vAlign w:val="center"/>
          </w:tcPr>
          <w:p w14:paraId="42A372B0">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显著提升</w:t>
            </w:r>
          </w:p>
        </w:tc>
        <w:tc>
          <w:tcPr>
            <w:tcW w:w="2193" w:type="dxa"/>
            <w:shd w:val="clear" w:color="auto" w:fill="auto"/>
            <w:noWrap w:val="0"/>
            <w:vAlign w:val="center"/>
          </w:tcPr>
          <w:p w14:paraId="7141706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显著提升</w:t>
            </w:r>
          </w:p>
        </w:tc>
        <w:tc>
          <w:tcPr>
            <w:tcW w:w="832" w:type="dxa"/>
            <w:shd w:val="clear" w:color="auto" w:fill="auto"/>
            <w:noWrap w:val="0"/>
            <w:vAlign w:val="center"/>
          </w:tcPr>
          <w:p w14:paraId="202E319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955" w:type="dxa"/>
            <w:shd w:val="clear" w:color="auto" w:fill="auto"/>
            <w:noWrap w:val="0"/>
            <w:vAlign w:val="center"/>
          </w:tcPr>
          <w:p w14:paraId="45BE3D2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1681" w:type="dxa"/>
            <w:shd w:val="clear" w:color="auto" w:fill="auto"/>
            <w:noWrap w:val="0"/>
            <w:vAlign w:val="center"/>
          </w:tcPr>
          <w:p w14:paraId="5FDB756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61AE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27E65125">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F164ACD">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65F29954">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EBAD161">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以县城为重要载体的城镇化试点支持项目常住人口城镇化率</w:t>
            </w:r>
          </w:p>
        </w:tc>
        <w:tc>
          <w:tcPr>
            <w:tcW w:w="1675" w:type="dxa"/>
            <w:shd w:val="clear" w:color="auto" w:fill="auto"/>
            <w:noWrap w:val="0"/>
            <w:vAlign w:val="center"/>
          </w:tcPr>
          <w:p w14:paraId="08EA31A9">
            <w:pPr>
              <w:widowControl/>
              <w:spacing w:line="240" w:lineRule="exact"/>
              <w:jc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有效提升</w:t>
            </w:r>
          </w:p>
        </w:tc>
        <w:tc>
          <w:tcPr>
            <w:tcW w:w="2193" w:type="dxa"/>
            <w:shd w:val="clear" w:color="auto" w:fill="auto"/>
            <w:noWrap w:val="0"/>
            <w:vAlign w:val="center"/>
          </w:tcPr>
          <w:p w14:paraId="53D5CAD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有效提升</w:t>
            </w:r>
          </w:p>
        </w:tc>
        <w:tc>
          <w:tcPr>
            <w:tcW w:w="832" w:type="dxa"/>
            <w:shd w:val="clear" w:color="auto" w:fill="auto"/>
            <w:noWrap w:val="0"/>
            <w:vAlign w:val="center"/>
          </w:tcPr>
          <w:p w14:paraId="72AA0B7E">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955" w:type="dxa"/>
            <w:shd w:val="clear" w:color="auto" w:fill="auto"/>
            <w:noWrap w:val="0"/>
            <w:vAlign w:val="center"/>
          </w:tcPr>
          <w:p w14:paraId="6977D92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1681" w:type="dxa"/>
            <w:shd w:val="clear" w:color="auto" w:fill="auto"/>
            <w:noWrap w:val="0"/>
            <w:vAlign w:val="center"/>
          </w:tcPr>
          <w:p w14:paraId="1912F308">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356E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5D8B706B">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restart"/>
            <w:shd w:val="clear" w:color="auto" w:fill="auto"/>
            <w:noWrap w:val="0"/>
            <w:vAlign w:val="center"/>
          </w:tcPr>
          <w:p w14:paraId="1C913B57">
            <w:pPr>
              <w:keepNext w:val="0"/>
              <w:keepLines w:val="0"/>
              <w:widowControl/>
              <w:suppressLineNumbers w:val="0"/>
              <w:jc w:val="center"/>
              <w:textAlignment w:val="center"/>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满意度指标</w:t>
            </w:r>
          </w:p>
          <w:p w14:paraId="33409C75">
            <w:pPr>
              <w:keepNext w:val="0"/>
              <w:keepLines w:val="0"/>
              <w:widowControl/>
              <w:suppressLineNumbers w:val="0"/>
              <w:jc w:val="center"/>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_GB2312" w:cs="Times New Roman"/>
                <w:color w:val="auto"/>
                <w:sz w:val="20"/>
                <w:szCs w:val="20"/>
                <w:highlight w:val="none"/>
                <w:lang w:val="en-US" w:eastAsia="zh-CN"/>
              </w:rPr>
              <w:t>（10分）</w:t>
            </w:r>
          </w:p>
        </w:tc>
        <w:tc>
          <w:tcPr>
            <w:tcW w:w="1534" w:type="dxa"/>
            <w:vMerge w:val="restart"/>
            <w:shd w:val="clear" w:color="auto" w:fill="auto"/>
            <w:noWrap w:val="0"/>
            <w:vAlign w:val="center"/>
          </w:tcPr>
          <w:p w14:paraId="13AF0751">
            <w:pPr>
              <w:keepNext w:val="0"/>
              <w:keepLines w:val="0"/>
              <w:widowControl/>
              <w:suppressLineNumbers w:val="0"/>
              <w:jc w:val="left"/>
              <w:textAlignment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kern w:val="2"/>
                <w:sz w:val="20"/>
                <w:szCs w:val="20"/>
                <w:highlight w:val="none"/>
                <w:lang w:val="en-US" w:eastAsia="zh-CN" w:bidi="ar-SA"/>
              </w:rPr>
              <w:t>社会公众或服务对象满意度指标</w:t>
            </w:r>
          </w:p>
        </w:tc>
        <w:tc>
          <w:tcPr>
            <w:tcW w:w="2804" w:type="dxa"/>
            <w:shd w:val="clear" w:color="auto" w:fill="auto"/>
            <w:noWrap w:val="0"/>
            <w:vAlign w:val="center"/>
          </w:tcPr>
          <w:p w14:paraId="705D2A18">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财政统筹资金项目、落实重大战略和重大事项其他建设项目、省属公办本科高校学生宿舍建设项目、旅游发展大会</w:t>
            </w:r>
            <w:r>
              <w:rPr>
                <w:rFonts w:hint="eastAsia" w:eastAsia="仿宋" w:cs="Times New Roman"/>
                <w:color w:val="auto"/>
                <w:sz w:val="20"/>
                <w:szCs w:val="20"/>
                <w:highlight w:val="none"/>
                <w:lang w:val="en-US" w:eastAsia="zh-CN"/>
              </w:rPr>
              <w:t>支持</w:t>
            </w:r>
            <w:r>
              <w:rPr>
                <w:rFonts w:hint="eastAsia" w:ascii="Times New Roman" w:hAnsi="Times New Roman" w:eastAsia="仿宋" w:cs="Times New Roman"/>
                <w:color w:val="auto"/>
                <w:sz w:val="20"/>
                <w:szCs w:val="20"/>
                <w:highlight w:val="none"/>
                <w:lang w:val="en-US" w:eastAsia="zh-CN"/>
              </w:rPr>
              <w:t>项目、废旧物资回收循环利用专项项目、重大投资项目前期工作经费项目社会公众满意度</w:t>
            </w:r>
          </w:p>
        </w:tc>
        <w:tc>
          <w:tcPr>
            <w:tcW w:w="1675" w:type="dxa"/>
            <w:shd w:val="clear" w:color="auto" w:fill="auto"/>
            <w:noWrap w:val="0"/>
            <w:vAlign w:val="center"/>
          </w:tcPr>
          <w:p w14:paraId="68E7C1B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≥95%</w:t>
            </w:r>
          </w:p>
        </w:tc>
        <w:tc>
          <w:tcPr>
            <w:tcW w:w="2193" w:type="dxa"/>
            <w:shd w:val="clear" w:color="auto" w:fill="auto"/>
            <w:noWrap w:val="0"/>
            <w:vAlign w:val="center"/>
          </w:tcPr>
          <w:p w14:paraId="15CAADEF">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96%</w:t>
            </w:r>
          </w:p>
        </w:tc>
        <w:tc>
          <w:tcPr>
            <w:tcW w:w="832" w:type="dxa"/>
            <w:shd w:val="clear" w:color="auto" w:fill="auto"/>
            <w:noWrap w:val="0"/>
            <w:vAlign w:val="center"/>
          </w:tcPr>
          <w:p w14:paraId="0B4ACEAC">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6</w:t>
            </w:r>
          </w:p>
        </w:tc>
        <w:tc>
          <w:tcPr>
            <w:tcW w:w="955" w:type="dxa"/>
            <w:shd w:val="clear" w:color="auto" w:fill="auto"/>
            <w:noWrap w:val="0"/>
            <w:vAlign w:val="center"/>
          </w:tcPr>
          <w:p w14:paraId="2C876360">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6</w:t>
            </w:r>
          </w:p>
        </w:tc>
        <w:tc>
          <w:tcPr>
            <w:tcW w:w="1681" w:type="dxa"/>
            <w:shd w:val="clear" w:color="auto" w:fill="auto"/>
            <w:noWrap w:val="0"/>
            <w:vAlign w:val="center"/>
          </w:tcPr>
          <w:p w14:paraId="7960386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68E4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26ECCCE1">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294329FB">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7B77611A">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70D74B0D">
            <w:pPr>
              <w:widowControl/>
              <w:spacing w:line="240" w:lineRule="exact"/>
              <w:jc w:val="both"/>
              <w:rPr>
                <w:rFonts w:hint="eastAsia"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落实有关文件规定奖励资金项目、前期费用支出项目、高校师生创业就业创新及北斗规模应用</w:t>
            </w:r>
            <w:r>
              <w:rPr>
                <w:rFonts w:hint="eastAsia" w:eastAsia="仿宋" w:cs="Times New Roman"/>
                <w:color w:val="auto"/>
                <w:sz w:val="20"/>
                <w:szCs w:val="20"/>
                <w:highlight w:val="none"/>
                <w:lang w:val="en-US" w:eastAsia="zh-CN"/>
              </w:rPr>
              <w:t>项目</w:t>
            </w:r>
            <w:r>
              <w:rPr>
                <w:rFonts w:hint="eastAsia" w:ascii="Times New Roman" w:hAnsi="Times New Roman" w:eastAsia="仿宋" w:cs="Times New Roman"/>
                <w:color w:val="auto"/>
                <w:sz w:val="20"/>
                <w:szCs w:val="20"/>
                <w:highlight w:val="none"/>
                <w:lang w:val="en-US" w:eastAsia="zh-CN"/>
              </w:rPr>
              <w:t>服务对象满意度</w:t>
            </w:r>
          </w:p>
        </w:tc>
        <w:tc>
          <w:tcPr>
            <w:tcW w:w="1675" w:type="dxa"/>
            <w:shd w:val="clear" w:color="auto" w:fill="auto"/>
            <w:noWrap w:val="0"/>
            <w:vAlign w:val="center"/>
          </w:tcPr>
          <w:p w14:paraId="1EC45B96">
            <w:pPr>
              <w:widowControl/>
              <w:spacing w:line="240" w:lineRule="exact"/>
              <w:jc w:val="center"/>
              <w:rPr>
                <w:rFonts w:hint="eastAsia" w:ascii="Times New Roman" w:hAnsi="Times New Roman" w:eastAsia="仿宋" w:cs="Times New Roman"/>
                <w:color w:val="auto"/>
                <w:sz w:val="20"/>
                <w:szCs w:val="20"/>
                <w:highlight w:val="none"/>
                <w:lang w:val="en-US" w:eastAsia="zh-CN"/>
              </w:rPr>
            </w:pPr>
            <w:r>
              <w:rPr>
                <w:rFonts w:hint="eastAsia" w:ascii="Times New Roman" w:hAnsi="Times New Roman" w:eastAsia="仿宋" w:cs="Times New Roman"/>
                <w:color w:val="auto"/>
                <w:sz w:val="20"/>
                <w:szCs w:val="20"/>
                <w:highlight w:val="none"/>
                <w:lang w:val="en-US" w:eastAsia="zh-CN"/>
              </w:rPr>
              <w:t>≥95%</w:t>
            </w:r>
          </w:p>
        </w:tc>
        <w:tc>
          <w:tcPr>
            <w:tcW w:w="2193" w:type="dxa"/>
            <w:shd w:val="clear" w:color="auto" w:fill="auto"/>
            <w:noWrap w:val="0"/>
            <w:vAlign w:val="center"/>
          </w:tcPr>
          <w:p w14:paraId="220CEAE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96%</w:t>
            </w:r>
          </w:p>
        </w:tc>
        <w:tc>
          <w:tcPr>
            <w:tcW w:w="832" w:type="dxa"/>
            <w:shd w:val="clear" w:color="auto" w:fill="auto"/>
            <w:noWrap w:val="0"/>
            <w:vAlign w:val="center"/>
          </w:tcPr>
          <w:p w14:paraId="3FFC017B">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955" w:type="dxa"/>
            <w:shd w:val="clear" w:color="auto" w:fill="auto"/>
            <w:noWrap w:val="0"/>
            <w:vAlign w:val="center"/>
          </w:tcPr>
          <w:p w14:paraId="39D20D6D">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2</w:t>
            </w:r>
          </w:p>
        </w:tc>
        <w:tc>
          <w:tcPr>
            <w:tcW w:w="1681" w:type="dxa"/>
            <w:shd w:val="clear" w:color="auto" w:fill="auto"/>
            <w:noWrap w:val="0"/>
            <w:vAlign w:val="center"/>
          </w:tcPr>
          <w:p w14:paraId="0952FDD3">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10B8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77B56A27">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45EA1CD">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368DF0F8">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1058D7BC">
            <w:pPr>
              <w:widowControl/>
              <w:spacing w:line="240" w:lineRule="exact"/>
              <w:jc w:val="both"/>
              <w:rPr>
                <w:rFonts w:hint="eastAsia"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“五好园区”建设项目所在园区企业满意度</w:t>
            </w:r>
          </w:p>
        </w:tc>
        <w:tc>
          <w:tcPr>
            <w:tcW w:w="1675" w:type="dxa"/>
            <w:shd w:val="clear" w:color="auto" w:fill="auto"/>
            <w:noWrap w:val="0"/>
            <w:vAlign w:val="center"/>
          </w:tcPr>
          <w:p w14:paraId="6EE1F957">
            <w:pPr>
              <w:widowControl/>
              <w:spacing w:line="240" w:lineRule="exact"/>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&gt;</w:t>
            </w:r>
            <w:r>
              <w:rPr>
                <w:rFonts w:hint="eastAsia" w:ascii="Times New Roman" w:hAnsi="Times New Roman" w:eastAsia="仿宋" w:cs="Times New Roman"/>
                <w:color w:val="auto"/>
                <w:sz w:val="20"/>
                <w:szCs w:val="20"/>
                <w:highlight w:val="none"/>
                <w:lang w:val="en-US" w:eastAsia="zh-CN"/>
              </w:rPr>
              <w:t>90%</w:t>
            </w:r>
          </w:p>
        </w:tc>
        <w:tc>
          <w:tcPr>
            <w:tcW w:w="2193" w:type="dxa"/>
            <w:shd w:val="clear" w:color="auto" w:fill="auto"/>
            <w:noWrap w:val="0"/>
            <w:vAlign w:val="center"/>
          </w:tcPr>
          <w:p w14:paraId="4A90EE2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95%</w:t>
            </w:r>
          </w:p>
        </w:tc>
        <w:tc>
          <w:tcPr>
            <w:tcW w:w="832" w:type="dxa"/>
            <w:shd w:val="clear" w:color="auto" w:fill="auto"/>
            <w:noWrap w:val="0"/>
            <w:vAlign w:val="center"/>
          </w:tcPr>
          <w:p w14:paraId="3D2534F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2C3B6C02">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06754D7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2D1C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9" w:type="dxa"/>
            <w:vMerge w:val="continue"/>
            <w:shd w:val="clear" w:color="auto" w:fill="auto"/>
            <w:noWrap w:val="0"/>
            <w:vAlign w:val="center"/>
          </w:tcPr>
          <w:p w14:paraId="2DF879C8">
            <w:pPr>
              <w:jc w:val="center"/>
              <w:rPr>
                <w:rFonts w:hint="default" w:ascii="Times New Roman" w:hAnsi="Times New Roman" w:eastAsia="仿宋" w:cs="Times New Roman"/>
                <w:color w:val="auto"/>
                <w:kern w:val="2"/>
                <w:sz w:val="20"/>
                <w:szCs w:val="20"/>
                <w:highlight w:val="none"/>
                <w:lang w:val="en-US" w:eastAsia="zh-CN" w:bidi="ar-SA"/>
              </w:rPr>
            </w:pPr>
          </w:p>
        </w:tc>
        <w:tc>
          <w:tcPr>
            <w:tcW w:w="1549" w:type="dxa"/>
            <w:vMerge w:val="continue"/>
            <w:shd w:val="clear" w:color="auto" w:fill="auto"/>
            <w:noWrap w:val="0"/>
            <w:vAlign w:val="center"/>
          </w:tcPr>
          <w:p w14:paraId="652DC618">
            <w:pPr>
              <w:jc w:val="left"/>
              <w:rPr>
                <w:rFonts w:hint="default" w:ascii="Times New Roman" w:hAnsi="Times New Roman" w:eastAsia="仿宋" w:cs="Times New Roman"/>
                <w:color w:val="auto"/>
                <w:kern w:val="2"/>
                <w:sz w:val="20"/>
                <w:szCs w:val="20"/>
                <w:highlight w:val="none"/>
                <w:lang w:val="en-US" w:eastAsia="zh-CN" w:bidi="ar-SA"/>
              </w:rPr>
            </w:pPr>
          </w:p>
        </w:tc>
        <w:tc>
          <w:tcPr>
            <w:tcW w:w="1534" w:type="dxa"/>
            <w:vMerge w:val="continue"/>
            <w:shd w:val="clear" w:color="auto" w:fill="auto"/>
            <w:noWrap w:val="0"/>
            <w:vAlign w:val="center"/>
          </w:tcPr>
          <w:p w14:paraId="4093CFAB">
            <w:pPr>
              <w:jc w:val="left"/>
              <w:rPr>
                <w:rFonts w:hint="default" w:ascii="Times New Roman" w:hAnsi="Times New Roman" w:eastAsia="仿宋" w:cs="Times New Roman"/>
                <w:color w:val="auto"/>
                <w:kern w:val="2"/>
                <w:sz w:val="20"/>
                <w:szCs w:val="20"/>
                <w:highlight w:val="none"/>
                <w:lang w:val="en-US" w:eastAsia="zh-CN" w:bidi="ar-SA"/>
              </w:rPr>
            </w:pPr>
          </w:p>
        </w:tc>
        <w:tc>
          <w:tcPr>
            <w:tcW w:w="2804" w:type="dxa"/>
            <w:shd w:val="clear" w:color="auto" w:fill="auto"/>
            <w:noWrap w:val="0"/>
            <w:vAlign w:val="center"/>
          </w:tcPr>
          <w:p w14:paraId="2C4956F4">
            <w:pPr>
              <w:widowControl/>
              <w:spacing w:line="240" w:lineRule="exact"/>
              <w:jc w:val="both"/>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省级储备粮仓储建设项目为农民售粮提供优质服务</w:t>
            </w:r>
          </w:p>
        </w:tc>
        <w:tc>
          <w:tcPr>
            <w:tcW w:w="1675" w:type="dxa"/>
            <w:shd w:val="clear" w:color="auto" w:fill="auto"/>
            <w:noWrap w:val="0"/>
            <w:vAlign w:val="center"/>
          </w:tcPr>
          <w:p w14:paraId="3C585609">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明显增强</w:t>
            </w:r>
          </w:p>
        </w:tc>
        <w:tc>
          <w:tcPr>
            <w:tcW w:w="2193" w:type="dxa"/>
            <w:shd w:val="clear" w:color="auto" w:fill="auto"/>
            <w:noWrap w:val="0"/>
            <w:vAlign w:val="center"/>
          </w:tcPr>
          <w:p w14:paraId="18E1F06A">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ascii="Times New Roman" w:hAnsi="Times New Roman" w:eastAsia="仿宋" w:cs="Times New Roman"/>
                <w:color w:val="auto"/>
                <w:sz w:val="20"/>
                <w:szCs w:val="20"/>
                <w:highlight w:val="none"/>
                <w:lang w:val="en-US" w:eastAsia="zh-CN"/>
              </w:rPr>
              <w:t>明显增强</w:t>
            </w:r>
          </w:p>
        </w:tc>
        <w:tc>
          <w:tcPr>
            <w:tcW w:w="832" w:type="dxa"/>
            <w:shd w:val="clear" w:color="auto" w:fill="auto"/>
            <w:noWrap w:val="0"/>
            <w:vAlign w:val="center"/>
          </w:tcPr>
          <w:p w14:paraId="09A13EE4">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955" w:type="dxa"/>
            <w:shd w:val="clear" w:color="auto" w:fill="auto"/>
            <w:noWrap w:val="0"/>
            <w:vAlign w:val="center"/>
          </w:tcPr>
          <w:p w14:paraId="61195B56">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r>
              <w:rPr>
                <w:rFonts w:hint="eastAsia" w:eastAsia="仿宋" w:cs="Times New Roman"/>
                <w:color w:val="auto"/>
                <w:kern w:val="2"/>
                <w:sz w:val="20"/>
                <w:szCs w:val="20"/>
                <w:highlight w:val="none"/>
                <w:lang w:val="en-US" w:eastAsia="zh-CN" w:bidi="ar-SA"/>
              </w:rPr>
              <w:t>1</w:t>
            </w:r>
          </w:p>
        </w:tc>
        <w:tc>
          <w:tcPr>
            <w:tcW w:w="1681" w:type="dxa"/>
            <w:shd w:val="clear" w:color="auto" w:fill="auto"/>
            <w:noWrap w:val="0"/>
            <w:vAlign w:val="center"/>
          </w:tcPr>
          <w:p w14:paraId="4F74A1E5">
            <w:pPr>
              <w:widowControl/>
              <w:spacing w:line="240" w:lineRule="exact"/>
              <w:jc w:val="center"/>
              <w:rPr>
                <w:rFonts w:hint="default" w:ascii="Times New Roman" w:hAnsi="Times New Roman" w:eastAsia="仿宋" w:cs="Times New Roman"/>
                <w:color w:val="auto"/>
                <w:kern w:val="2"/>
                <w:sz w:val="20"/>
                <w:szCs w:val="20"/>
                <w:highlight w:val="none"/>
                <w:lang w:val="en-US" w:eastAsia="zh-CN" w:bidi="ar-SA"/>
              </w:rPr>
            </w:pPr>
          </w:p>
        </w:tc>
      </w:tr>
      <w:tr w14:paraId="1A6D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1284" w:type="dxa"/>
            <w:gridSpan w:val="6"/>
            <w:noWrap w:val="0"/>
            <w:vAlign w:val="center"/>
          </w:tcPr>
          <w:p w14:paraId="40DCE788">
            <w:pPr>
              <w:widowControl/>
              <w:jc w:val="center"/>
              <w:rPr>
                <w:rFonts w:hint="default" w:ascii="Times New Roman" w:hAnsi="Times New Roman" w:eastAsia="仿宋" w:cs="Times New Roman"/>
                <w:color w:val="auto"/>
                <w:sz w:val="20"/>
                <w:szCs w:val="20"/>
                <w:highlight w:val="none"/>
                <w:lang w:val="en-US" w:eastAsia="zh-CN"/>
              </w:rPr>
            </w:pPr>
            <w:r>
              <w:rPr>
                <w:rFonts w:hint="default" w:ascii="Times New Roman" w:hAnsi="Times New Roman" w:eastAsia="仿宋" w:cs="Times New Roman"/>
                <w:color w:val="auto"/>
                <w:sz w:val="20"/>
                <w:szCs w:val="20"/>
                <w:highlight w:val="none"/>
                <w:lang w:val="en-US" w:eastAsia="zh-CN"/>
              </w:rPr>
              <w:t>总分</w:t>
            </w:r>
          </w:p>
        </w:tc>
        <w:tc>
          <w:tcPr>
            <w:tcW w:w="832" w:type="dxa"/>
            <w:noWrap w:val="0"/>
            <w:vAlign w:val="center"/>
          </w:tcPr>
          <w:p w14:paraId="6EF51A63">
            <w:pPr>
              <w:widowControl/>
              <w:spacing w:line="280" w:lineRule="exact"/>
              <w:jc w:val="center"/>
              <w:rPr>
                <w:rFonts w:hint="default" w:ascii="Times New Roman" w:hAnsi="Times New Roman" w:eastAsia="仿宋" w:cs="Times New Roman"/>
                <w:color w:val="auto"/>
                <w:kern w:val="0"/>
                <w:sz w:val="20"/>
                <w:szCs w:val="20"/>
                <w:highlight w:val="none"/>
                <w:lang w:val="en-US" w:eastAsia="zh-CN"/>
              </w:rPr>
            </w:pPr>
            <w:r>
              <w:rPr>
                <w:rFonts w:hint="eastAsia" w:eastAsia="仿宋" w:cs="Times New Roman"/>
                <w:color w:val="auto"/>
                <w:kern w:val="0"/>
                <w:sz w:val="20"/>
                <w:szCs w:val="20"/>
                <w:highlight w:val="none"/>
                <w:lang w:val="en-US" w:eastAsia="zh-CN"/>
              </w:rPr>
              <w:t>100</w:t>
            </w:r>
          </w:p>
        </w:tc>
        <w:tc>
          <w:tcPr>
            <w:tcW w:w="955" w:type="dxa"/>
            <w:noWrap w:val="0"/>
            <w:vAlign w:val="center"/>
          </w:tcPr>
          <w:p w14:paraId="3E7CC527">
            <w:pPr>
              <w:spacing w:line="260" w:lineRule="exact"/>
              <w:ind w:left="105" w:leftChars="50" w:right="105" w:rightChars="50"/>
              <w:jc w:val="center"/>
              <w:rPr>
                <w:rFonts w:hint="default" w:ascii="Times New Roman" w:hAnsi="Times New Roman" w:eastAsia="仿宋" w:cs="Times New Roman"/>
                <w:color w:val="auto"/>
                <w:sz w:val="20"/>
                <w:szCs w:val="20"/>
                <w:highlight w:val="none"/>
                <w:lang w:val="en-US" w:eastAsia="zh-CN"/>
              </w:rPr>
            </w:pPr>
            <w:r>
              <w:rPr>
                <w:rFonts w:hint="eastAsia" w:eastAsia="仿宋" w:cs="Times New Roman"/>
                <w:color w:val="auto"/>
                <w:sz w:val="20"/>
                <w:szCs w:val="20"/>
                <w:highlight w:val="none"/>
                <w:lang w:val="en-US" w:eastAsia="zh-CN"/>
              </w:rPr>
              <w:t>96.28</w:t>
            </w:r>
          </w:p>
        </w:tc>
        <w:tc>
          <w:tcPr>
            <w:tcW w:w="1681" w:type="dxa"/>
            <w:noWrap w:val="0"/>
            <w:vAlign w:val="center"/>
          </w:tcPr>
          <w:p w14:paraId="37E4819B">
            <w:pPr>
              <w:widowControl/>
              <w:jc w:val="both"/>
              <w:rPr>
                <w:rFonts w:hint="default" w:ascii="Times New Roman" w:hAnsi="Times New Roman" w:eastAsia="仿宋" w:cs="Times New Roman"/>
                <w:color w:val="auto"/>
                <w:sz w:val="20"/>
                <w:szCs w:val="20"/>
                <w:highlight w:val="none"/>
              </w:rPr>
            </w:pPr>
          </w:p>
        </w:tc>
      </w:tr>
    </w:tbl>
    <w:p w14:paraId="5E8D6FE9">
      <w:pPr>
        <w:spacing w:line="596" w:lineRule="exact"/>
        <w:jc w:val="center"/>
        <w:rPr>
          <w:color w:val="auto"/>
          <w:highlight w:val="none"/>
        </w:rPr>
        <w:sectPr>
          <w:headerReference r:id="rId9" w:type="default"/>
          <w:footerReference r:id="rId10" w:type="default"/>
          <w:pgSz w:w="16840" w:h="11900" w:orient="landscape"/>
          <w:pgMar w:top="1588" w:right="1871" w:bottom="1531" w:left="1531" w:header="851" w:footer="1304" w:gutter="0"/>
          <w:pgNumType w:fmt="decimal" w:start="24"/>
          <w:cols w:space="720" w:num="1"/>
        </w:sectPr>
      </w:pPr>
      <w:r>
        <w:rPr>
          <w:rFonts w:hint="eastAsia" w:ascii="仿宋_GB2312" w:hAnsi="仿宋_GB2312" w:eastAsia="仿宋_GB2312" w:cs="仿宋_GB2312"/>
          <w:color w:val="auto"/>
          <w:sz w:val="20"/>
          <w:szCs w:val="20"/>
          <w:highlight w:val="none"/>
        </w:rPr>
        <w:t>填表人：</w:t>
      </w:r>
      <w:r>
        <w:rPr>
          <w:rFonts w:hint="eastAsia" w:ascii="仿宋_GB2312" w:hAnsi="仿宋_GB2312" w:eastAsia="仿宋_GB2312" w:cs="仿宋_GB2312"/>
          <w:color w:val="auto"/>
          <w:sz w:val="20"/>
          <w:szCs w:val="20"/>
          <w:highlight w:val="none"/>
          <w:lang w:val="en-US" w:eastAsia="zh-CN"/>
        </w:rPr>
        <w:t>林琦淞</w:t>
      </w:r>
      <w:r>
        <w:rPr>
          <w:rFonts w:hint="eastAsia" w:ascii="仿宋_GB2312" w:hAnsi="仿宋_GB2312" w:eastAsia="仿宋_GB2312" w:cs="仿宋_GB2312"/>
          <w:color w:val="auto"/>
          <w:sz w:val="20"/>
          <w:szCs w:val="20"/>
          <w:highlight w:val="none"/>
        </w:rPr>
        <w:t xml:space="preserve">   填表日期：202</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年</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月</w:t>
      </w:r>
      <w:r>
        <w:rPr>
          <w:rFonts w:hint="eastAsia" w:ascii="仿宋_GB2312" w:hAnsi="仿宋_GB2312" w:eastAsia="仿宋_GB2312" w:cs="仿宋_GB2312"/>
          <w:color w:val="auto"/>
          <w:sz w:val="20"/>
          <w:szCs w:val="20"/>
          <w:highlight w:val="none"/>
          <w:lang w:val="en-US" w:eastAsia="zh-CN"/>
        </w:rPr>
        <w:t>16</w:t>
      </w:r>
      <w:r>
        <w:rPr>
          <w:rFonts w:hint="eastAsia" w:ascii="仿宋_GB2312" w:hAnsi="仿宋_GB2312" w:eastAsia="仿宋_GB2312" w:cs="仿宋_GB2312"/>
          <w:color w:val="auto"/>
          <w:sz w:val="20"/>
          <w:szCs w:val="20"/>
          <w:highlight w:val="none"/>
        </w:rPr>
        <w:t>日    联系电话：</w:t>
      </w:r>
      <w:r>
        <w:rPr>
          <w:rFonts w:hint="eastAsia" w:ascii="仿宋_GB2312" w:hAnsi="仿宋_GB2312" w:eastAsia="仿宋_GB2312" w:cs="仿宋_GB2312"/>
          <w:color w:val="auto"/>
          <w:sz w:val="20"/>
          <w:szCs w:val="20"/>
          <w:highlight w:val="none"/>
          <w:lang w:eastAsia="zh-CN"/>
        </w:rPr>
        <w:t>0731-89991521</w:t>
      </w:r>
      <w:r>
        <w:rPr>
          <w:rFonts w:hint="eastAsia" w:ascii="仿宋_GB2312" w:hAnsi="仿宋_GB2312" w:eastAsia="仿宋_GB2312" w:cs="仿宋_GB2312"/>
          <w:color w:val="auto"/>
          <w:sz w:val="20"/>
          <w:szCs w:val="20"/>
          <w:highlight w:val="none"/>
        </w:rPr>
        <w:t xml:space="preserve">     单位负责人签字：</w:t>
      </w:r>
    </w:p>
    <w:bookmarkEnd w:id="126"/>
    <w:p w14:paraId="1BD71FC4">
      <w:pPr>
        <w:pStyle w:val="2"/>
        <w:ind w:firstLine="0" w:firstLineChars="0"/>
        <w:rPr>
          <w:color w:val="auto"/>
          <w:highlight w:val="none"/>
          <w:lang w:val="en-US"/>
        </w:rPr>
      </w:pPr>
    </w:p>
    <w:bookmarkEnd w:id="127"/>
    <w:sectPr>
      <w:headerReference r:id="rId11" w:type="default"/>
      <w:footerReference r:id="rId12"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3BAE3C-7C7F-4B80-AABB-55744B7372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9A28DE6-4AD0-44C8-BD80-85649B0E0C3E}"/>
  </w:font>
  <w:font w:name="仿宋">
    <w:panose1 w:val="02010609060101010101"/>
    <w:charset w:val="86"/>
    <w:family w:val="modern"/>
    <w:pitch w:val="default"/>
    <w:sig w:usb0="800002BF" w:usb1="38CF7CFA" w:usb2="00000016" w:usb3="00000000" w:csb0="00040001" w:csb1="00000000"/>
    <w:embedRegular r:id="rId3" w:fontKey="{FCC5ECF9-ACE6-4443-9337-FE4B97CC5942}"/>
  </w:font>
  <w:font w:name="方正小标宋简体">
    <w:panose1 w:val="02000000000000000000"/>
    <w:charset w:val="86"/>
    <w:family w:val="auto"/>
    <w:pitch w:val="default"/>
    <w:sig w:usb0="00000001" w:usb1="08000000" w:usb2="00000000" w:usb3="00000000" w:csb0="00040000" w:csb1="00000000"/>
    <w:embedRegular r:id="rId4" w:fontKey="{CDCD2F06-BB27-4D6B-93A0-B7A35C977100}"/>
  </w:font>
  <w:font w:name="方正小标宋_GBK">
    <w:panose1 w:val="02000000000000000000"/>
    <w:charset w:val="86"/>
    <w:family w:val="script"/>
    <w:pitch w:val="default"/>
    <w:sig w:usb0="A00002BF" w:usb1="38CF7CFA" w:usb2="00082016" w:usb3="00000000" w:csb0="00040001" w:csb1="00000000"/>
    <w:embedRegular r:id="rId5" w:fontKey="{5E89A5AE-A044-442E-85C9-60A214024D17}"/>
  </w:font>
  <w:font w:name="楷体_GB2312">
    <w:panose1 w:val="02010609030101010101"/>
    <w:charset w:val="86"/>
    <w:family w:val="modern"/>
    <w:pitch w:val="default"/>
    <w:sig w:usb0="00000001" w:usb1="080E0000" w:usb2="00000000" w:usb3="00000000" w:csb0="00040000" w:csb1="00000000"/>
    <w:embedRegular r:id="rId6" w:fontKey="{8FF51063-7D59-44D0-A3C1-6E3795388B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2A59">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AC4D">
    <w:pPr>
      <w:pStyle w:val="12"/>
      <w:wordWrap w:val="0"/>
      <w:jc w:val="right"/>
      <w:rPr>
        <w:rFonts w:ascii="宋体" w:hAnsi="宋体" w:cs="宋体"/>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8FCA">
    <w:pPr>
      <w:pStyle w:val="12"/>
      <w:ind w:firstLine="280" w:firstLineChars="10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r>
      <w:rPr>
        <w:rFonts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6A30">
    <w:pPr>
      <w:pStyle w:val="12"/>
      <w:wordWrap w:val="0"/>
      <w:jc w:val="right"/>
      <w:rPr>
        <w:rFonts w:ascii="宋体" w:hAnsi="宋体" w:cs="宋体"/>
        <w:szCs w:val="1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r>
      <w:rPr>
        <w:rFonts w:hint="eastAsia"/>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CD963">
    <w:pPr>
      <w:pStyle w:val="12"/>
      <w:ind w:firstLine="280" w:firstLineChars="10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r>
      <w:rPr>
        <w:rFonts w:hint="eastAsia"/>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A77E">
    <w:pPr>
      <w:pStyle w:val="12"/>
      <w:wordWrap w:val="0"/>
      <w:jc w:val="right"/>
      <w:rPr>
        <w:rFonts w:ascii="宋体" w:hAnsi="宋体" w:cs="宋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F55DF">
                          <w:pPr>
                            <w:pStyle w:val="12"/>
                            <w:wordWrap w:val="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0F55DF">
                    <w:pPr>
                      <w:pStyle w:val="12"/>
                      <w:wordWrap w:val="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r>
                      <w:rPr>
                        <w:rFonts w:hint="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ED869">
    <w:pPr>
      <w:spacing w:line="195" w:lineRule="exact"/>
      <w:jc w:val="left"/>
      <w:rPr>
        <w:rFonts w:ascii="宋体" w:hAnsi="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DB56D0">
                          <w:pPr>
                            <w:pStyle w:val="12"/>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26</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6DB56D0">
                    <w:pPr>
                      <w:pStyle w:val="12"/>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26</w:t>
                    </w:r>
                    <w:r>
                      <w:rPr>
                        <w:rFonts w:hint="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D16D0">
    <w:pPr>
      <w:pStyle w:val="13"/>
      <w:pBdr>
        <w:bottom w:val="none" w:color="auto" w:sz="0" w:space="0"/>
      </w:pBdr>
      <w:jc w:val="both"/>
      <w:rPr>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9B44">
    <w:pPr>
      <w:pStyle w:val="13"/>
      <w:pBdr>
        <w:bottom w:val="none" w:color="auto" w:sz="0" w:space="0"/>
      </w:pBdr>
      <w:jc w:val="both"/>
      <w:rPr>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84BF3">
    <w:pPr>
      <w:pStyle w:val="13"/>
      <w:pBdr>
        <w:bottom w:val="none" w:color="auto" w:sz="0" w:space="0"/>
      </w:pBdr>
      <w:jc w:val="both"/>
      <w:rPr>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zMjBlMTllOTgyM2Q0NTk0ZjAzMDVkNTRkMWIxNzUifQ=="/>
  </w:docVars>
  <w:rsids>
    <w:rsidRoot w:val="0EA72858"/>
    <w:rsid w:val="000262F9"/>
    <w:rsid w:val="00074826"/>
    <w:rsid w:val="00095AD8"/>
    <w:rsid w:val="000C3DA7"/>
    <w:rsid w:val="000D01AC"/>
    <w:rsid w:val="001538CA"/>
    <w:rsid w:val="001B223C"/>
    <w:rsid w:val="001C1383"/>
    <w:rsid w:val="001F4D0A"/>
    <w:rsid w:val="00203F8B"/>
    <w:rsid w:val="002101FB"/>
    <w:rsid w:val="00247343"/>
    <w:rsid w:val="00277E07"/>
    <w:rsid w:val="00292BAB"/>
    <w:rsid w:val="002F5AE2"/>
    <w:rsid w:val="003746D2"/>
    <w:rsid w:val="00420681"/>
    <w:rsid w:val="00496DA9"/>
    <w:rsid w:val="004D3D81"/>
    <w:rsid w:val="004D52E6"/>
    <w:rsid w:val="004F446E"/>
    <w:rsid w:val="00515C5E"/>
    <w:rsid w:val="005E3D60"/>
    <w:rsid w:val="00605350"/>
    <w:rsid w:val="00610597"/>
    <w:rsid w:val="0065677F"/>
    <w:rsid w:val="006614FB"/>
    <w:rsid w:val="006649A2"/>
    <w:rsid w:val="006757EA"/>
    <w:rsid w:val="006D74D6"/>
    <w:rsid w:val="006F085A"/>
    <w:rsid w:val="007344DF"/>
    <w:rsid w:val="007402CA"/>
    <w:rsid w:val="0078768E"/>
    <w:rsid w:val="007941F2"/>
    <w:rsid w:val="007B7B08"/>
    <w:rsid w:val="00832532"/>
    <w:rsid w:val="008774EB"/>
    <w:rsid w:val="008B73C2"/>
    <w:rsid w:val="008C510C"/>
    <w:rsid w:val="009004F3"/>
    <w:rsid w:val="009511AC"/>
    <w:rsid w:val="00973FB8"/>
    <w:rsid w:val="009E605F"/>
    <w:rsid w:val="00A75E63"/>
    <w:rsid w:val="00AB753D"/>
    <w:rsid w:val="00AF02C1"/>
    <w:rsid w:val="00B24983"/>
    <w:rsid w:val="00B445E8"/>
    <w:rsid w:val="00B92271"/>
    <w:rsid w:val="00C17B96"/>
    <w:rsid w:val="00C3711D"/>
    <w:rsid w:val="00C6664C"/>
    <w:rsid w:val="00C95CF2"/>
    <w:rsid w:val="00DF1010"/>
    <w:rsid w:val="00DF14BB"/>
    <w:rsid w:val="00E5312B"/>
    <w:rsid w:val="00E61A27"/>
    <w:rsid w:val="00E94020"/>
    <w:rsid w:val="00EA0745"/>
    <w:rsid w:val="00ED5986"/>
    <w:rsid w:val="00EF16FF"/>
    <w:rsid w:val="00EF5BA2"/>
    <w:rsid w:val="00F001A0"/>
    <w:rsid w:val="00F61A08"/>
    <w:rsid w:val="00FC02BF"/>
    <w:rsid w:val="00FC1EEB"/>
    <w:rsid w:val="01042CD0"/>
    <w:rsid w:val="01131A8D"/>
    <w:rsid w:val="01161924"/>
    <w:rsid w:val="01172A03"/>
    <w:rsid w:val="012178A5"/>
    <w:rsid w:val="01253DE4"/>
    <w:rsid w:val="01255120"/>
    <w:rsid w:val="012670EA"/>
    <w:rsid w:val="012E58E1"/>
    <w:rsid w:val="012F5F9F"/>
    <w:rsid w:val="01335852"/>
    <w:rsid w:val="013533A9"/>
    <w:rsid w:val="01374E54"/>
    <w:rsid w:val="013E61E2"/>
    <w:rsid w:val="01453A14"/>
    <w:rsid w:val="014F03EF"/>
    <w:rsid w:val="015123B9"/>
    <w:rsid w:val="01530E61"/>
    <w:rsid w:val="015B7ACB"/>
    <w:rsid w:val="015E6884"/>
    <w:rsid w:val="017B3498"/>
    <w:rsid w:val="017F4B98"/>
    <w:rsid w:val="018502B5"/>
    <w:rsid w:val="01875DDB"/>
    <w:rsid w:val="018860CB"/>
    <w:rsid w:val="018B23A4"/>
    <w:rsid w:val="018E7169"/>
    <w:rsid w:val="01916C5A"/>
    <w:rsid w:val="019D115B"/>
    <w:rsid w:val="01A06E9D"/>
    <w:rsid w:val="01A71FD9"/>
    <w:rsid w:val="01AD5116"/>
    <w:rsid w:val="01AF64CD"/>
    <w:rsid w:val="01B427D4"/>
    <w:rsid w:val="01B54CDE"/>
    <w:rsid w:val="01C25065"/>
    <w:rsid w:val="01C9232C"/>
    <w:rsid w:val="01CD2FFB"/>
    <w:rsid w:val="01D71829"/>
    <w:rsid w:val="01DF631E"/>
    <w:rsid w:val="01E02628"/>
    <w:rsid w:val="01E812A2"/>
    <w:rsid w:val="01EC73DA"/>
    <w:rsid w:val="02084847"/>
    <w:rsid w:val="020D348F"/>
    <w:rsid w:val="020F7B7E"/>
    <w:rsid w:val="021537C8"/>
    <w:rsid w:val="021A09FD"/>
    <w:rsid w:val="021E78E9"/>
    <w:rsid w:val="022371E0"/>
    <w:rsid w:val="0227311A"/>
    <w:rsid w:val="022A74EC"/>
    <w:rsid w:val="023B6BC5"/>
    <w:rsid w:val="023F2212"/>
    <w:rsid w:val="02480834"/>
    <w:rsid w:val="02524067"/>
    <w:rsid w:val="02647ECA"/>
    <w:rsid w:val="026C6D7F"/>
    <w:rsid w:val="026D3223"/>
    <w:rsid w:val="026E67DA"/>
    <w:rsid w:val="02735957"/>
    <w:rsid w:val="027C4E28"/>
    <w:rsid w:val="028854D2"/>
    <w:rsid w:val="028E742B"/>
    <w:rsid w:val="02900CBF"/>
    <w:rsid w:val="0299063D"/>
    <w:rsid w:val="029A38EC"/>
    <w:rsid w:val="029E162E"/>
    <w:rsid w:val="02AB0A48"/>
    <w:rsid w:val="02AE7397"/>
    <w:rsid w:val="02B11911"/>
    <w:rsid w:val="02B2279A"/>
    <w:rsid w:val="02B40B8D"/>
    <w:rsid w:val="02BD4BEF"/>
    <w:rsid w:val="02C95F7F"/>
    <w:rsid w:val="02CA2E42"/>
    <w:rsid w:val="02CD1F13"/>
    <w:rsid w:val="02D05EC2"/>
    <w:rsid w:val="02D54924"/>
    <w:rsid w:val="02D92BC9"/>
    <w:rsid w:val="02DA42FE"/>
    <w:rsid w:val="02DC67A8"/>
    <w:rsid w:val="02DE6F56"/>
    <w:rsid w:val="02E4100B"/>
    <w:rsid w:val="02ED2C46"/>
    <w:rsid w:val="02EF1E8A"/>
    <w:rsid w:val="02F254D6"/>
    <w:rsid w:val="02F85701"/>
    <w:rsid w:val="02FA25DD"/>
    <w:rsid w:val="0301742A"/>
    <w:rsid w:val="03077315"/>
    <w:rsid w:val="03097990"/>
    <w:rsid w:val="03111A00"/>
    <w:rsid w:val="031226B6"/>
    <w:rsid w:val="0317318F"/>
    <w:rsid w:val="0328713E"/>
    <w:rsid w:val="032C7DBF"/>
    <w:rsid w:val="03305FFE"/>
    <w:rsid w:val="03337D52"/>
    <w:rsid w:val="03375867"/>
    <w:rsid w:val="033956A3"/>
    <w:rsid w:val="03397897"/>
    <w:rsid w:val="033A0C2B"/>
    <w:rsid w:val="033C49A3"/>
    <w:rsid w:val="0343557F"/>
    <w:rsid w:val="03445F74"/>
    <w:rsid w:val="03463A74"/>
    <w:rsid w:val="03496C72"/>
    <w:rsid w:val="034C01D7"/>
    <w:rsid w:val="035B2EC3"/>
    <w:rsid w:val="036747D5"/>
    <w:rsid w:val="036B5288"/>
    <w:rsid w:val="036F2FCB"/>
    <w:rsid w:val="03732A66"/>
    <w:rsid w:val="03806F86"/>
    <w:rsid w:val="03936CB9"/>
    <w:rsid w:val="03997186"/>
    <w:rsid w:val="039C693F"/>
    <w:rsid w:val="03AD58A1"/>
    <w:rsid w:val="03B67AD4"/>
    <w:rsid w:val="03B804CE"/>
    <w:rsid w:val="03C055D4"/>
    <w:rsid w:val="03C124A1"/>
    <w:rsid w:val="03C95A0C"/>
    <w:rsid w:val="03CC60D6"/>
    <w:rsid w:val="03D1454A"/>
    <w:rsid w:val="03D80B70"/>
    <w:rsid w:val="03DE36E0"/>
    <w:rsid w:val="03EB116F"/>
    <w:rsid w:val="03EE33BC"/>
    <w:rsid w:val="03F020F2"/>
    <w:rsid w:val="03F30042"/>
    <w:rsid w:val="040E6DD4"/>
    <w:rsid w:val="04137DFA"/>
    <w:rsid w:val="04141590"/>
    <w:rsid w:val="041D7315"/>
    <w:rsid w:val="04274837"/>
    <w:rsid w:val="042F2D8C"/>
    <w:rsid w:val="042F4508"/>
    <w:rsid w:val="043450F4"/>
    <w:rsid w:val="043D4F2F"/>
    <w:rsid w:val="04414014"/>
    <w:rsid w:val="0445051A"/>
    <w:rsid w:val="044C0C16"/>
    <w:rsid w:val="044E498E"/>
    <w:rsid w:val="045A034F"/>
    <w:rsid w:val="045B1A51"/>
    <w:rsid w:val="04642762"/>
    <w:rsid w:val="04651CD8"/>
    <w:rsid w:val="04684988"/>
    <w:rsid w:val="046917C8"/>
    <w:rsid w:val="046B0420"/>
    <w:rsid w:val="046E5030"/>
    <w:rsid w:val="046E7DC2"/>
    <w:rsid w:val="04712F11"/>
    <w:rsid w:val="04730C6F"/>
    <w:rsid w:val="047F5393"/>
    <w:rsid w:val="04821DB6"/>
    <w:rsid w:val="04956A61"/>
    <w:rsid w:val="04A009E9"/>
    <w:rsid w:val="04A11C54"/>
    <w:rsid w:val="04A942BA"/>
    <w:rsid w:val="04AC5B58"/>
    <w:rsid w:val="04AE18D1"/>
    <w:rsid w:val="04B36EE7"/>
    <w:rsid w:val="04BC3968"/>
    <w:rsid w:val="04BC52F4"/>
    <w:rsid w:val="04BE3AAD"/>
    <w:rsid w:val="04D07890"/>
    <w:rsid w:val="04D74983"/>
    <w:rsid w:val="04DF1A8A"/>
    <w:rsid w:val="04E30C48"/>
    <w:rsid w:val="04E97D99"/>
    <w:rsid w:val="04EA4959"/>
    <w:rsid w:val="04F2627E"/>
    <w:rsid w:val="050B0AD1"/>
    <w:rsid w:val="05135DAE"/>
    <w:rsid w:val="05136235"/>
    <w:rsid w:val="05171224"/>
    <w:rsid w:val="052102F4"/>
    <w:rsid w:val="05237BC9"/>
    <w:rsid w:val="0529606F"/>
    <w:rsid w:val="052D0A47"/>
    <w:rsid w:val="05300538"/>
    <w:rsid w:val="05317B3F"/>
    <w:rsid w:val="05322502"/>
    <w:rsid w:val="05341DD6"/>
    <w:rsid w:val="053C512E"/>
    <w:rsid w:val="053E1678"/>
    <w:rsid w:val="05427727"/>
    <w:rsid w:val="0549494F"/>
    <w:rsid w:val="0549714B"/>
    <w:rsid w:val="05572F05"/>
    <w:rsid w:val="05597A8E"/>
    <w:rsid w:val="055E5BA5"/>
    <w:rsid w:val="056621AB"/>
    <w:rsid w:val="05681A7F"/>
    <w:rsid w:val="056B1EC6"/>
    <w:rsid w:val="056B5B59"/>
    <w:rsid w:val="056D06C6"/>
    <w:rsid w:val="057030DE"/>
    <w:rsid w:val="05725522"/>
    <w:rsid w:val="057B61D6"/>
    <w:rsid w:val="057E2575"/>
    <w:rsid w:val="057E3F46"/>
    <w:rsid w:val="05976809"/>
    <w:rsid w:val="059C53C9"/>
    <w:rsid w:val="05A15D28"/>
    <w:rsid w:val="05AE5409"/>
    <w:rsid w:val="05AF3B52"/>
    <w:rsid w:val="05B42F17"/>
    <w:rsid w:val="05B44CC5"/>
    <w:rsid w:val="05CC1602"/>
    <w:rsid w:val="05CC51D5"/>
    <w:rsid w:val="05D80031"/>
    <w:rsid w:val="05D8020C"/>
    <w:rsid w:val="05DB04A3"/>
    <w:rsid w:val="05E05ABA"/>
    <w:rsid w:val="05E97064"/>
    <w:rsid w:val="05F41565"/>
    <w:rsid w:val="05F442DA"/>
    <w:rsid w:val="06020126"/>
    <w:rsid w:val="06053779"/>
    <w:rsid w:val="060B1D6E"/>
    <w:rsid w:val="06111FE2"/>
    <w:rsid w:val="06113EC5"/>
    <w:rsid w:val="06127C3D"/>
    <w:rsid w:val="06163BD1"/>
    <w:rsid w:val="0619721E"/>
    <w:rsid w:val="061E7A2F"/>
    <w:rsid w:val="06233CEA"/>
    <w:rsid w:val="06250A5D"/>
    <w:rsid w:val="062A64C0"/>
    <w:rsid w:val="06336531"/>
    <w:rsid w:val="06337DC3"/>
    <w:rsid w:val="063D305A"/>
    <w:rsid w:val="06417592"/>
    <w:rsid w:val="0643384F"/>
    <w:rsid w:val="064D3832"/>
    <w:rsid w:val="06500E91"/>
    <w:rsid w:val="06565D7C"/>
    <w:rsid w:val="065B6E44"/>
    <w:rsid w:val="065B7D0E"/>
    <w:rsid w:val="065C2E8E"/>
    <w:rsid w:val="065C5613"/>
    <w:rsid w:val="06624721"/>
    <w:rsid w:val="06646285"/>
    <w:rsid w:val="066466EB"/>
    <w:rsid w:val="06654211"/>
    <w:rsid w:val="066B7744"/>
    <w:rsid w:val="066F10E5"/>
    <w:rsid w:val="066F7E7A"/>
    <w:rsid w:val="0670069A"/>
    <w:rsid w:val="067173E7"/>
    <w:rsid w:val="0679482E"/>
    <w:rsid w:val="067A7B61"/>
    <w:rsid w:val="067C70D8"/>
    <w:rsid w:val="067D365B"/>
    <w:rsid w:val="06824E13"/>
    <w:rsid w:val="06890E4C"/>
    <w:rsid w:val="068A7579"/>
    <w:rsid w:val="068E5516"/>
    <w:rsid w:val="069673AF"/>
    <w:rsid w:val="069B4000"/>
    <w:rsid w:val="069C6813"/>
    <w:rsid w:val="06A42F8B"/>
    <w:rsid w:val="06A63A82"/>
    <w:rsid w:val="06A72A7B"/>
    <w:rsid w:val="06A967F3"/>
    <w:rsid w:val="06B626C8"/>
    <w:rsid w:val="06C67D2A"/>
    <w:rsid w:val="06C70544"/>
    <w:rsid w:val="06CA1ECD"/>
    <w:rsid w:val="06CA4548"/>
    <w:rsid w:val="06D06B84"/>
    <w:rsid w:val="06DC0977"/>
    <w:rsid w:val="06DD5B44"/>
    <w:rsid w:val="06DF0467"/>
    <w:rsid w:val="06E115CC"/>
    <w:rsid w:val="06E17D3B"/>
    <w:rsid w:val="06E56248"/>
    <w:rsid w:val="06E93094"/>
    <w:rsid w:val="06F42130"/>
    <w:rsid w:val="06F6313C"/>
    <w:rsid w:val="06F7130D"/>
    <w:rsid w:val="06FC2DC7"/>
    <w:rsid w:val="0701218C"/>
    <w:rsid w:val="070F44A8"/>
    <w:rsid w:val="07160C57"/>
    <w:rsid w:val="07200BD8"/>
    <w:rsid w:val="072440CC"/>
    <w:rsid w:val="072461A6"/>
    <w:rsid w:val="072E6CF9"/>
    <w:rsid w:val="07320597"/>
    <w:rsid w:val="073D0CEA"/>
    <w:rsid w:val="07433B09"/>
    <w:rsid w:val="074C2323"/>
    <w:rsid w:val="074F518E"/>
    <w:rsid w:val="07504EC1"/>
    <w:rsid w:val="075453C9"/>
    <w:rsid w:val="0761503E"/>
    <w:rsid w:val="076169E8"/>
    <w:rsid w:val="07631F22"/>
    <w:rsid w:val="076444C8"/>
    <w:rsid w:val="07756139"/>
    <w:rsid w:val="0777244E"/>
    <w:rsid w:val="077A1F3E"/>
    <w:rsid w:val="077B3D19"/>
    <w:rsid w:val="07813B5D"/>
    <w:rsid w:val="07834251"/>
    <w:rsid w:val="0788465B"/>
    <w:rsid w:val="07981AF4"/>
    <w:rsid w:val="07990FAB"/>
    <w:rsid w:val="07996657"/>
    <w:rsid w:val="079A71A9"/>
    <w:rsid w:val="07A42EC2"/>
    <w:rsid w:val="07A52825"/>
    <w:rsid w:val="07A56FBB"/>
    <w:rsid w:val="07AA2C0F"/>
    <w:rsid w:val="07BE723B"/>
    <w:rsid w:val="07CA1EC8"/>
    <w:rsid w:val="07D64E34"/>
    <w:rsid w:val="07DC0503"/>
    <w:rsid w:val="07DE63DA"/>
    <w:rsid w:val="07E07FF3"/>
    <w:rsid w:val="07E32DF3"/>
    <w:rsid w:val="07EA705F"/>
    <w:rsid w:val="07F81CA6"/>
    <w:rsid w:val="07FC0BA5"/>
    <w:rsid w:val="08017EB8"/>
    <w:rsid w:val="080E3993"/>
    <w:rsid w:val="08171686"/>
    <w:rsid w:val="081E1C7D"/>
    <w:rsid w:val="081F0D66"/>
    <w:rsid w:val="08216C0B"/>
    <w:rsid w:val="08242875"/>
    <w:rsid w:val="082936D0"/>
    <w:rsid w:val="082D0D5E"/>
    <w:rsid w:val="082D6FB0"/>
    <w:rsid w:val="08314CF2"/>
    <w:rsid w:val="083D48CB"/>
    <w:rsid w:val="083E1660"/>
    <w:rsid w:val="08404FA1"/>
    <w:rsid w:val="08444A26"/>
    <w:rsid w:val="0847397C"/>
    <w:rsid w:val="08520CE6"/>
    <w:rsid w:val="086A32AC"/>
    <w:rsid w:val="0875108C"/>
    <w:rsid w:val="08751E1E"/>
    <w:rsid w:val="0879122C"/>
    <w:rsid w:val="087D49A1"/>
    <w:rsid w:val="0882279B"/>
    <w:rsid w:val="08891343"/>
    <w:rsid w:val="088F1A65"/>
    <w:rsid w:val="089963F4"/>
    <w:rsid w:val="08A7634D"/>
    <w:rsid w:val="08B1198F"/>
    <w:rsid w:val="08B90902"/>
    <w:rsid w:val="08BB79AE"/>
    <w:rsid w:val="08C65404"/>
    <w:rsid w:val="08CB210B"/>
    <w:rsid w:val="08CF7888"/>
    <w:rsid w:val="08D66CF5"/>
    <w:rsid w:val="08F50FA3"/>
    <w:rsid w:val="08FF6B9F"/>
    <w:rsid w:val="0902043D"/>
    <w:rsid w:val="09045955"/>
    <w:rsid w:val="09061CDB"/>
    <w:rsid w:val="0911242E"/>
    <w:rsid w:val="09120680"/>
    <w:rsid w:val="091A5787"/>
    <w:rsid w:val="091A6930"/>
    <w:rsid w:val="091F202B"/>
    <w:rsid w:val="09277F98"/>
    <w:rsid w:val="093A5D58"/>
    <w:rsid w:val="09497DAE"/>
    <w:rsid w:val="09581E0B"/>
    <w:rsid w:val="095C5D9F"/>
    <w:rsid w:val="09722ECD"/>
    <w:rsid w:val="0978425B"/>
    <w:rsid w:val="097A4477"/>
    <w:rsid w:val="097F1A8E"/>
    <w:rsid w:val="09817EA1"/>
    <w:rsid w:val="098735DD"/>
    <w:rsid w:val="098752D2"/>
    <w:rsid w:val="098D37FA"/>
    <w:rsid w:val="098F1CD1"/>
    <w:rsid w:val="09914DBB"/>
    <w:rsid w:val="09A82D92"/>
    <w:rsid w:val="09B101DF"/>
    <w:rsid w:val="09B47437"/>
    <w:rsid w:val="09B56ACE"/>
    <w:rsid w:val="09BB6644"/>
    <w:rsid w:val="09BC4D97"/>
    <w:rsid w:val="09BE5B4B"/>
    <w:rsid w:val="09C00789"/>
    <w:rsid w:val="09CE26BF"/>
    <w:rsid w:val="09D023D0"/>
    <w:rsid w:val="09D05237"/>
    <w:rsid w:val="09D05E45"/>
    <w:rsid w:val="09D92F4C"/>
    <w:rsid w:val="09DC0890"/>
    <w:rsid w:val="09DE5453"/>
    <w:rsid w:val="09E959B5"/>
    <w:rsid w:val="09F40343"/>
    <w:rsid w:val="0A0106F5"/>
    <w:rsid w:val="0A0874F3"/>
    <w:rsid w:val="0A0B477E"/>
    <w:rsid w:val="0A0E176C"/>
    <w:rsid w:val="0A1071AF"/>
    <w:rsid w:val="0A1106B1"/>
    <w:rsid w:val="0A1500F3"/>
    <w:rsid w:val="0A171770"/>
    <w:rsid w:val="0A2F5F75"/>
    <w:rsid w:val="0A3011AD"/>
    <w:rsid w:val="0A36225A"/>
    <w:rsid w:val="0A374430"/>
    <w:rsid w:val="0A383CAF"/>
    <w:rsid w:val="0A3A4E1B"/>
    <w:rsid w:val="0A3B014D"/>
    <w:rsid w:val="0A3D48EC"/>
    <w:rsid w:val="0A3F3A93"/>
    <w:rsid w:val="0A454A85"/>
    <w:rsid w:val="0A565BB6"/>
    <w:rsid w:val="0A621193"/>
    <w:rsid w:val="0A6477D8"/>
    <w:rsid w:val="0A726EFC"/>
    <w:rsid w:val="0A740CA3"/>
    <w:rsid w:val="0A762156"/>
    <w:rsid w:val="0A767FC3"/>
    <w:rsid w:val="0A775D4F"/>
    <w:rsid w:val="0A7B04A7"/>
    <w:rsid w:val="0A8E1F88"/>
    <w:rsid w:val="0A9926DB"/>
    <w:rsid w:val="0AB1211B"/>
    <w:rsid w:val="0AB357F8"/>
    <w:rsid w:val="0ABA2173"/>
    <w:rsid w:val="0ABB6AF5"/>
    <w:rsid w:val="0AC41E4E"/>
    <w:rsid w:val="0ACF187C"/>
    <w:rsid w:val="0ADC263F"/>
    <w:rsid w:val="0ADC5D6E"/>
    <w:rsid w:val="0ADF0A36"/>
    <w:rsid w:val="0ADF0F74"/>
    <w:rsid w:val="0AE8339D"/>
    <w:rsid w:val="0AEB73DB"/>
    <w:rsid w:val="0AED6A0B"/>
    <w:rsid w:val="0AF226C7"/>
    <w:rsid w:val="0AF50259"/>
    <w:rsid w:val="0AFB1760"/>
    <w:rsid w:val="0AFD4601"/>
    <w:rsid w:val="0B065BB7"/>
    <w:rsid w:val="0B0A5387"/>
    <w:rsid w:val="0B0C36F5"/>
    <w:rsid w:val="0B171395"/>
    <w:rsid w:val="0B195DEC"/>
    <w:rsid w:val="0B234750"/>
    <w:rsid w:val="0B2762B0"/>
    <w:rsid w:val="0B2840D1"/>
    <w:rsid w:val="0B353F75"/>
    <w:rsid w:val="0B3F3C9B"/>
    <w:rsid w:val="0B444D3D"/>
    <w:rsid w:val="0B486311"/>
    <w:rsid w:val="0B49765B"/>
    <w:rsid w:val="0B4C6787"/>
    <w:rsid w:val="0B510E78"/>
    <w:rsid w:val="0B552B52"/>
    <w:rsid w:val="0B5605CC"/>
    <w:rsid w:val="0B57681E"/>
    <w:rsid w:val="0B5A1BB4"/>
    <w:rsid w:val="0B6332ED"/>
    <w:rsid w:val="0B66462F"/>
    <w:rsid w:val="0B6839BC"/>
    <w:rsid w:val="0B6D4294"/>
    <w:rsid w:val="0B705B32"/>
    <w:rsid w:val="0B71539D"/>
    <w:rsid w:val="0B731FC4"/>
    <w:rsid w:val="0B74638B"/>
    <w:rsid w:val="0B756ADB"/>
    <w:rsid w:val="0B78145D"/>
    <w:rsid w:val="0B7A21DA"/>
    <w:rsid w:val="0B81389B"/>
    <w:rsid w:val="0B852B9F"/>
    <w:rsid w:val="0B860EB1"/>
    <w:rsid w:val="0B872955"/>
    <w:rsid w:val="0B9335CE"/>
    <w:rsid w:val="0B971003"/>
    <w:rsid w:val="0BA022AB"/>
    <w:rsid w:val="0BA045EF"/>
    <w:rsid w:val="0BA60A8A"/>
    <w:rsid w:val="0BB55CC8"/>
    <w:rsid w:val="0BBD060B"/>
    <w:rsid w:val="0BBE5093"/>
    <w:rsid w:val="0BBF43C3"/>
    <w:rsid w:val="0BC00F03"/>
    <w:rsid w:val="0BCB2D68"/>
    <w:rsid w:val="0BD04910"/>
    <w:rsid w:val="0BD460C1"/>
    <w:rsid w:val="0BEB51B8"/>
    <w:rsid w:val="0BEC1DFA"/>
    <w:rsid w:val="0BEF2EFA"/>
    <w:rsid w:val="0BF30B20"/>
    <w:rsid w:val="0BF63B78"/>
    <w:rsid w:val="0BFE4CD7"/>
    <w:rsid w:val="0C004E10"/>
    <w:rsid w:val="0C0232D1"/>
    <w:rsid w:val="0C126DF9"/>
    <w:rsid w:val="0C153D41"/>
    <w:rsid w:val="0C1753B5"/>
    <w:rsid w:val="0C264442"/>
    <w:rsid w:val="0C2C3647"/>
    <w:rsid w:val="0C2F3118"/>
    <w:rsid w:val="0C304E24"/>
    <w:rsid w:val="0C360B29"/>
    <w:rsid w:val="0C3F659F"/>
    <w:rsid w:val="0C400627"/>
    <w:rsid w:val="0C50171D"/>
    <w:rsid w:val="0C595676"/>
    <w:rsid w:val="0C5B3D77"/>
    <w:rsid w:val="0C6805B7"/>
    <w:rsid w:val="0C776A4C"/>
    <w:rsid w:val="0C7772ED"/>
    <w:rsid w:val="0C7952A7"/>
    <w:rsid w:val="0C7D10F8"/>
    <w:rsid w:val="0C7E2FA7"/>
    <w:rsid w:val="0C874EE1"/>
    <w:rsid w:val="0C913DEE"/>
    <w:rsid w:val="0C917B0E"/>
    <w:rsid w:val="0C9504BF"/>
    <w:rsid w:val="0C965124"/>
    <w:rsid w:val="0C996BF0"/>
    <w:rsid w:val="0C9F475C"/>
    <w:rsid w:val="0CAA020E"/>
    <w:rsid w:val="0CB11F5E"/>
    <w:rsid w:val="0CB55E7C"/>
    <w:rsid w:val="0CC164BF"/>
    <w:rsid w:val="0CCA3020"/>
    <w:rsid w:val="0CD04129"/>
    <w:rsid w:val="0CE13D49"/>
    <w:rsid w:val="0CF20EE8"/>
    <w:rsid w:val="0CF4009D"/>
    <w:rsid w:val="0CF66AAA"/>
    <w:rsid w:val="0CFB767D"/>
    <w:rsid w:val="0D006A41"/>
    <w:rsid w:val="0D021069"/>
    <w:rsid w:val="0D1D5845"/>
    <w:rsid w:val="0D234D91"/>
    <w:rsid w:val="0D286A22"/>
    <w:rsid w:val="0D2941EA"/>
    <w:rsid w:val="0D31309F"/>
    <w:rsid w:val="0D360262"/>
    <w:rsid w:val="0D3F3A0E"/>
    <w:rsid w:val="0D476C90"/>
    <w:rsid w:val="0D575B51"/>
    <w:rsid w:val="0D645222"/>
    <w:rsid w:val="0D652CD5"/>
    <w:rsid w:val="0D69763D"/>
    <w:rsid w:val="0D6B65B1"/>
    <w:rsid w:val="0D6D3ACB"/>
    <w:rsid w:val="0D7A0D99"/>
    <w:rsid w:val="0D84000B"/>
    <w:rsid w:val="0D8C38C7"/>
    <w:rsid w:val="0D8E6743"/>
    <w:rsid w:val="0D905CCF"/>
    <w:rsid w:val="0D907DC5"/>
    <w:rsid w:val="0D9378B6"/>
    <w:rsid w:val="0D94440F"/>
    <w:rsid w:val="0D95362E"/>
    <w:rsid w:val="0D9A6E96"/>
    <w:rsid w:val="0DA26ECE"/>
    <w:rsid w:val="0DA601C5"/>
    <w:rsid w:val="0DA72F9A"/>
    <w:rsid w:val="0DAD3DE8"/>
    <w:rsid w:val="0DAF4D0B"/>
    <w:rsid w:val="0DB63EDD"/>
    <w:rsid w:val="0DCA4C9D"/>
    <w:rsid w:val="0DCD1019"/>
    <w:rsid w:val="0DCF4D92"/>
    <w:rsid w:val="0DD33EF7"/>
    <w:rsid w:val="0DD3500C"/>
    <w:rsid w:val="0DD55983"/>
    <w:rsid w:val="0DDC74AE"/>
    <w:rsid w:val="0DDF0D4D"/>
    <w:rsid w:val="0DE52580"/>
    <w:rsid w:val="0DE57B14"/>
    <w:rsid w:val="0DED72EE"/>
    <w:rsid w:val="0DF04D08"/>
    <w:rsid w:val="0DF82006"/>
    <w:rsid w:val="0E0063DA"/>
    <w:rsid w:val="0E07426C"/>
    <w:rsid w:val="0E083E00"/>
    <w:rsid w:val="0E0B1B42"/>
    <w:rsid w:val="0E0E7E3E"/>
    <w:rsid w:val="0E214B23"/>
    <w:rsid w:val="0E226322"/>
    <w:rsid w:val="0E227CB2"/>
    <w:rsid w:val="0E255D38"/>
    <w:rsid w:val="0E2A2820"/>
    <w:rsid w:val="0E364406"/>
    <w:rsid w:val="0E412901"/>
    <w:rsid w:val="0E455CF9"/>
    <w:rsid w:val="0E4A4418"/>
    <w:rsid w:val="0E4F7C80"/>
    <w:rsid w:val="0E5139F9"/>
    <w:rsid w:val="0E577BCA"/>
    <w:rsid w:val="0E63372C"/>
    <w:rsid w:val="0E6354DA"/>
    <w:rsid w:val="0E6D6359"/>
    <w:rsid w:val="0E7C1C73"/>
    <w:rsid w:val="0E820C0A"/>
    <w:rsid w:val="0E860E99"/>
    <w:rsid w:val="0EA455A0"/>
    <w:rsid w:val="0EA72858"/>
    <w:rsid w:val="0EA82631"/>
    <w:rsid w:val="0EA86D33"/>
    <w:rsid w:val="0EAA1137"/>
    <w:rsid w:val="0EAC0C2F"/>
    <w:rsid w:val="0EAF6971"/>
    <w:rsid w:val="0EBE3D93"/>
    <w:rsid w:val="0EC45C4F"/>
    <w:rsid w:val="0ECF0DC1"/>
    <w:rsid w:val="0ED24CA8"/>
    <w:rsid w:val="0EDA0A13"/>
    <w:rsid w:val="0EDA20E0"/>
    <w:rsid w:val="0EDE2DB2"/>
    <w:rsid w:val="0EDE58DB"/>
    <w:rsid w:val="0EDF7256"/>
    <w:rsid w:val="0EE7435D"/>
    <w:rsid w:val="0EEA79A9"/>
    <w:rsid w:val="0EF56A7A"/>
    <w:rsid w:val="0EFC4732"/>
    <w:rsid w:val="0EFF1548"/>
    <w:rsid w:val="0F032819"/>
    <w:rsid w:val="0F08071C"/>
    <w:rsid w:val="0F0B1E09"/>
    <w:rsid w:val="0F0C5B71"/>
    <w:rsid w:val="0F116BAE"/>
    <w:rsid w:val="0F12129A"/>
    <w:rsid w:val="0F191AEA"/>
    <w:rsid w:val="0F1D0756"/>
    <w:rsid w:val="0F1E5C47"/>
    <w:rsid w:val="0F200CA2"/>
    <w:rsid w:val="0F202C75"/>
    <w:rsid w:val="0F205179"/>
    <w:rsid w:val="0F274759"/>
    <w:rsid w:val="0F340249"/>
    <w:rsid w:val="0F3533C2"/>
    <w:rsid w:val="0F3B2377"/>
    <w:rsid w:val="0F4A4CBF"/>
    <w:rsid w:val="0F4C41C0"/>
    <w:rsid w:val="0F4E5BEB"/>
    <w:rsid w:val="0F544F35"/>
    <w:rsid w:val="0F556226"/>
    <w:rsid w:val="0F567FFC"/>
    <w:rsid w:val="0F64775C"/>
    <w:rsid w:val="0F6602F3"/>
    <w:rsid w:val="0F661726"/>
    <w:rsid w:val="0F680F30"/>
    <w:rsid w:val="0F697787"/>
    <w:rsid w:val="0F6C4862"/>
    <w:rsid w:val="0F735BF1"/>
    <w:rsid w:val="0F7B7906"/>
    <w:rsid w:val="0F7D6A6F"/>
    <w:rsid w:val="0F807EFE"/>
    <w:rsid w:val="0F847C52"/>
    <w:rsid w:val="0F847E24"/>
    <w:rsid w:val="0F883E52"/>
    <w:rsid w:val="0F9B7A10"/>
    <w:rsid w:val="0F9C3707"/>
    <w:rsid w:val="0FA638D0"/>
    <w:rsid w:val="0FA67572"/>
    <w:rsid w:val="0FB22DC0"/>
    <w:rsid w:val="0FB26719"/>
    <w:rsid w:val="0FBE5BCF"/>
    <w:rsid w:val="0FE16FFE"/>
    <w:rsid w:val="0FE73EE9"/>
    <w:rsid w:val="0FE8213B"/>
    <w:rsid w:val="0FF027FF"/>
    <w:rsid w:val="0FF72E97"/>
    <w:rsid w:val="10042CED"/>
    <w:rsid w:val="10076BD5"/>
    <w:rsid w:val="10156CA8"/>
    <w:rsid w:val="10171DA8"/>
    <w:rsid w:val="101C1DE4"/>
    <w:rsid w:val="1021389E"/>
    <w:rsid w:val="1021510F"/>
    <w:rsid w:val="10242461"/>
    <w:rsid w:val="102D2243"/>
    <w:rsid w:val="10303AE2"/>
    <w:rsid w:val="10326E2F"/>
    <w:rsid w:val="103532AC"/>
    <w:rsid w:val="10372C7C"/>
    <w:rsid w:val="10392996"/>
    <w:rsid w:val="104153D6"/>
    <w:rsid w:val="1048680A"/>
    <w:rsid w:val="104E5AFB"/>
    <w:rsid w:val="105B68EF"/>
    <w:rsid w:val="106317C1"/>
    <w:rsid w:val="106D782B"/>
    <w:rsid w:val="10763923"/>
    <w:rsid w:val="107C4E72"/>
    <w:rsid w:val="10830FA5"/>
    <w:rsid w:val="108B0D18"/>
    <w:rsid w:val="109202F8"/>
    <w:rsid w:val="10A4638E"/>
    <w:rsid w:val="10A71C74"/>
    <w:rsid w:val="10AD4ED2"/>
    <w:rsid w:val="10B053A7"/>
    <w:rsid w:val="10B07370"/>
    <w:rsid w:val="10B45C58"/>
    <w:rsid w:val="10BB33AB"/>
    <w:rsid w:val="10BF7601"/>
    <w:rsid w:val="10C41274"/>
    <w:rsid w:val="10CD7582"/>
    <w:rsid w:val="10D601E5"/>
    <w:rsid w:val="10EA18CB"/>
    <w:rsid w:val="10EA711E"/>
    <w:rsid w:val="10F90377"/>
    <w:rsid w:val="10FA7CF2"/>
    <w:rsid w:val="10FE5889"/>
    <w:rsid w:val="111B02EE"/>
    <w:rsid w:val="11270A41"/>
    <w:rsid w:val="11290C5D"/>
    <w:rsid w:val="112C235A"/>
    <w:rsid w:val="11360C84"/>
    <w:rsid w:val="113849FC"/>
    <w:rsid w:val="113B4367"/>
    <w:rsid w:val="113C486E"/>
    <w:rsid w:val="113E4E57"/>
    <w:rsid w:val="113F235F"/>
    <w:rsid w:val="114F61E9"/>
    <w:rsid w:val="11511160"/>
    <w:rsid w:val="115B1338"/>
    <w:rsid w:val="116021A5"/>
    <w:rsid w:val="11671785"/>
    <w:rsid w:val="116747BF"/>
    <w:rsid w:val="116A542D"/>
    <w:rsid w:val="1173012A"/>
    <w:rsid w:val="117B2B3A"/>
    <w:rsid w:val="117F087D"/>
    <w:rsid w:val="11826EF1"/>
    <w:rsid w:val="11842F60"/>
    <w:rsid w:val="11987B90"/>
    <w:rsid w:val="119C4AEC"/>
    <w:rsid w:val="119F6914"/>
    <w:rsid w:val="119F709B"/>
    <w:rsid w:val="11A007F3"/>
    <w:rsid w:val="11AE55C4"/>
    <w:rsid w:val="11B7696F"/>
    <w:rsid w:val="11B86BF5"/>
    <w:rsid w:val="11BD13A5"/>
    <w:rsid w:val="11BD75F7"/>
    <w:rsid w:val="11C664AC"/>
    <w:rsid w:val="11CB5870"/>
    <w:rsid w:val="11D1110E"/>
    <w:rsid w:val="11D26FA8"/>
    <w:rsid w:val="11D303AF"/>
    <w:rsid w:val="11D527E9"/>
    <w:rsid w:val="11D5743F"/>
    <w:rsid w:val="11E35CFA"/>
    <w:rsid w:val="11E903EC"/>
    <w:rsid w:val="11F052D6"/>
    <w:rsid w:val="11F528ED"/>
    <w:rsid w:val="11F86886"/>
    <w:rsid w:val="11FA7F03"/>
    <w:rsid w:val="12055257"/>
    <w:rsid w:val="12064AFA"/>
    <w:rsid w:val="12093891"/>
    <w:rsid w:val="120B2110"/>
    <w:rsid w:val="120C2643"/>
    <w:rsid w:val="120C4080"/>
    <w:rsid w:val="120C5AEB"/>
    <w:rsid w:val="120D6537"/>
    <w:rsid w:val="1211524D"/>
    <w:rsid w:val="12154D3D"/>
    <w:rsid w:val="121F5BBC"/>
    <w:rsid w:val="121F796A"/>
    <w:rsid w:val="122819FE"/>
    <w:rsid w:val="12282CC2"/>
    <w:rsid w:val="122B5C4E"/>
    <w:rsid w:val="122C1C03"/>
    <w:rsid w:val="122F22A3"/>
    <w:rsid w:val="12351D2E"/>
    <w:rsid w:val="123705F4"/>
    <w:rsid w:val="1242728A"/>
    <w:rsid w:val="12491B4A"/>
    <w:rsid w:val="124D0B9C"/>
    <w:rsid w:val="124F46F3"/>
    <w:rsid w:val="124F777A"/>
    <w:rsid w:val="125B2814"/>
    <w:rsid w:val="125C533B"/>
    <w:rsid w:val="125C6E10"/>
    <w:rsid w:val="126E60CA"/>
    <w:rsid w:val="12752F03"/>
    <w:rsid w:val="12784376"/>
    <w:rsid w:val="127D74FD"/>
    <w:rsid w:val="12865C3B"/>
    <w:rsid w:val="128B4FFF"/>
    <w:rsid w:val="129742FF"/>
    <w:rsid w:val="129A7C3E"/>
    <w:rsid w:val="129B48F0"/>
    <w:rsid w:val="12A96802"/>
    <w:rsid w:val="12AB56A1"/>
    <w:rsid w:val="12B95257"/>
    <w:rsid w:val="12BF12D3"/>
    <w:rsid w:val="12C7247D"/>
    <w:rsid w:val="12CC776B"/>
    <w:rsid w:val="12D335F1"/>
    <w:rsid w:val="12DE7825"/>
    <w:rsid w:val="12E715E8"/>
    <w:rsid w:val="12F34864"/>
    <w:rsid w:val="130068CE"/>
    <w:rsid w:val="13055E34"/>
    <w:rsid w:val="13056E27"/>
    <w:rsid w:val="13062A8B"/>
    <w:rsid w:val="13174AE5"/>
    <w:rsid w:val="131B632D"/>
    <w:rsid w:val="13263CD1"/>
    <w:rsid w:val="133C3F36"/>
    <w:rsid w:val="13410F31"/>
    <w:rsid w:val="1344636B"/>
    <w:rsid w:val="13485F35"/>
    <w:rsid w:val="134A310C"/>
    <w:rsid w:val="13644916"/>
    <w:rsid w:val="136D3E55"/>
    <w:rsid w:val="136E11B0"/>
    <w:rsid w:val="13737F6D"/>
    <w:rsid w:val="137666E0"/>
    <w:rsid w:val="137F77BD"/>
    <w:rsid w:val="13813286"/>
    <w:rsid w:val="13873911"/>
    <w:rsid w:val="138C65B4"/>
    <w:rsid w:val="138F7528"/>
    <w:rsid w:val="13906D71"/>
    <w:rsid w:val="1393060F"/>
    <w:rsid w:val="13946135"/>
    <w:rsid w:val="13AC7923"/>
    <w:rsid w:val="13AD48CA"/>
    <w:rsid w:val="13B502A0"/>
    <w:rsid w:val="13BB7B66"/>
    <w:rsid w:val="13BC0E53"/>
    <w:rsid w:val="13C94031"/>
    <w:rsid w:val="13CB52FE"/>
    <w:rsid w:val="13D053C0"/>
    <w:rsid w:val="13F015BE"/>
    <w:rsid w:val="13F770C2"/>
    <w:rsid w:val="13FB34DA"/>
    <w:rsid w:val="13FF72FC"/>
    <w:rsid w:val="14013683"/>
    <w:rsid w:val="140C2170"/>
    <w:rsid w:val="14134060"/>
    <w:rsid w:val="141352AC"/>
    <w:rsid w:val="14153F44"/>
    <w:rsid w:val="14175432"/>
    <w:rsid w:val="141A488D"/>
    <w:rsid w:val="141D437D"/>
    <w:rsid w:val="14231E00"/>
    <w:rsid w:val="14276FAA"/>
    <w:rsid w:val="142B4C87"/>
    <w:rsid w:val="14345EF7"/>
    <w:rsid w:val="143951EF"/>
    <w:rsid w:val="143A6CDD"/>
    <w:rsid w:val="143D67CD"/>
    <w:rsid w:val="144B7BDF"/>
    <w:rsid w:val="14553B17"/>
    <w:rsid w:val="145B0D83"/>
    <w:rsid w:val="146464AA"/>
    <w:rsid w:val="1467582C"/>
    <w:rsid w:val="146F22A3"/>
    <w:rsid w:val="146F3888"/>
    <w:rsid w:val="14763FC4"/>
    <w:rsid w:val="1476470C"/>
    <w:rsid w:val="147C3D73"/>
    <w:rsid w:val="148368D6"/>
    <w:rsid w:val="14846B7C"/>
    <w:rsid w:val="14860DA6"/>
    <w:rsid w:val="14974B9D"/>
    <w:rsid w:val="149864F1"/>
    <w:rsid w:val="149865F4"/>
    <w:rsid w:val="14997EA7"/>
    <w:rsid w:val="149E54BE"/>
    <w:rsid w:val="14A164DB"/>
    <w:rsid w:val="14AC513B"/>
    <w:rsid w:val="14C50C9C"/>
    <w:rsid w:val="14CF729A"/>
    <w:rsid w:val="14D015C3"/>
    <w:rsid w:val="14D45CC3"/>
    <w:rsid w:val="14D507B4"/>
    <w:rsid w:val="14DD6F28"/>
    <w:rsid w:val="14E50212"/>
    <w:rsid w:val="14E804E7"/>
    <w:rsid w:val="14FB02A9"/>
    <w:rsid w:val="150932C1"/>
    <w:rsid w:val="151D198D"/>
    <w:rsid w:val="15252FA3"/>
    <w:rsid w:val="1527196A"/>
    <w:rsid w:val="1528122B"/>
    <w:rsid w:val="153B4040"/>
    <w:rsid w:val="153C6A85"/>
    <w:rsid w:val="154B6DDA"/>
    <w:rsid w:val="15532DCD"/>
    <w:rsid w:val="155431BC"/>
    <w:rsid w:val="155618F4"/>
    <w:rsid w:val="155E1FEF"/>
    <w:rsid w:val="15613053"/>
    <w:rsid w:val="15651646"/>
    <w:rsid w:val="15652DAA"/>
    <w:rsid w:val="156C2EC6"/>
    <w:rsid w:val="156C736A"/>
    <w:rsid w:val="156D6C3E"/>
    <w:rsid w:val="15783F61"/>
    <w:rsid w:val="15793835"/>
    <w:rsid w:val="157A4ADA"/>
    <w:rsid w:val="15802E15"/>
    <w:rsid w:val="15874B92"/>
    <w:rsid w:val="158967EA"/>
    <w:rsid w:val="158B3902"/>
    <w:rsid w:val="158F08C2"/>
    <w:rsid w:val="15932B49"/>
    <w:rsid w:val="15956691"/>
    <w:rsid w:val="15A44D56"/>
    <w:rsid w:val="15A5287C"/>
    <w:rsid w:val="15AE706B"/>
    <w:rsid w:val="15AF54A9"/>
    <w:rsid w:val="15B36D47"/>
    <w:rsid w:val="15B826D9"/>
    <w:rsid w:val="15B872C4"/>
    <w:rsid w:val="15BA3AB9"/>
    <w:rsid w:val="15C46ECC"/>
    <w:rsid w:val="15C54CCC"/>
    <w:rsid w:val="15C7317B"/>
    <w:rsid w:val="15DC09CE"/>
    <w:rsid w:val="15E10064"/>
    <w:rsid w:val="15E52C78"/>
    <w:rsid w:val="15E72E94"/>
    <w:rsid w:val="15E769F0"/>
    <w:rsid w:val="15F177C2"/>
    <w:rsid w:val="15F201BE"/>
    <w:rsid w:val="15F22A72"/>
    <w:rsid w:val="15F265E9"/>
    <w:rsid w:val="15F52E08"/>
    <w:rsid w:val="15FE2BCB"/>
    <w:rsid w:val="15FF01DE"/>
    <w:rsid w:val="160B1661"/>
    <w:rsid w:val="16191AD7"/>
    <w:rsid w:val="162632AE"/>
    <w:rsid w:val="162B2044"/>
    <w:rsid w:val="162F20C4"/>
    <w:rsid w:val="162F258A"/>
    <w:rsid w:val="164125A5"/>
    <w:rsid w:val="164C504F"/>
    <w:rsid w:val="16534538"/>
    <w:rsid w:val="16552BF3"/>
    <w:rsid w:val="1662500E"/>
    <w:rsid w:val="16685D83"/>
    <w:rsid w:val="16702E8A"/>
    <w:rsid w:val="16704C38"/>
    <w:rsid w:val="167364D6"/>
    <w:rsid w:val="16773445"/>
    <w:rsid w:val="16773AE4"/>
    <w:rsid w:val="167C4EF4"/>
    <w:rsid w:val="16963635"/>
    <w:rsid w:val="16A23A9B"/>
    <w:rsid w:val="16A448E1"/>
    <w:rsid w:val="16A56DF3"/>
    <w:rsid w:val="16A6065A"/>
    <w:rsid w:val="16AE750E"/>
    <w:rsid w:val="16AF5A69"/>
    <w:rsid w:val="16BA3BFE"/>
    <w:rsid w:val="16BC6608"/>
    <w:rsid w:val="16C1709C"/>
    <w:rsid w:val="16C17241"/>
    <w:rsid w:val="16CE289A"/>
    <w:rsid w:val="16CE6163"/>
    <w:rsid w:val="16D2112D"/>
    <w:rsid w:val="16D451C7"/>
    <w:rsid w:val="16D5793B"/>
    <w:rsid w:val="16D8015F"/>
    <w:rsid w:val="16DA07C9"/>
    <w:rsid w:val="16E74EA8"/>
    <w:rsid w:val="16EB2A3A"/>
    <w:rsid w:val="16EF0253"/>
    <w:rsid w:val="16EF2001"/>
    <w:rsid w:val="16F20566"/>
    <w:rsid w:val="16F26D74"/>
    <w:rsid w:val="16F731E9"/>
    <w:rsid w:val="16FC327B"/>
    <w:rsid w:val="170318D0"/>
    <w:rsid w:val="171371E0"/>
    <w:rsid w:val="171B2A03"/>
    <w:rsid w:val="172872C1"/>
    <w:rsid w:val="172A0432"/>
    <w:rsid w:val="172F53C2"/>
    <w:rsid w:val="173506A7"/>
    <w:rsid w:val="173623A3"/>
    <w:rsid w:val="17435EA8"/>
    <w:rsid w:val="174560C4"/>
    <w:rsid w:val="17486C88"/>
    <w:rsid w:val="17535125"/>
    <w:rsid w:val="175648E9"/>
    <w:rsid w:val="175653EE"/>
    <w:rsid w:val="17630C32"/>
    <w:rsid w:val="176C3651"/>
    <w:rsid w:val="1780534F"/>
    <w:rsid w:val="17806FFB"/>
    <w:rsid w:val="17853DC4"/>
    <w:rsid w:val="17884203"/>
    <w:rsid w:val="178A7644"/>
    <w:rsid w:val="178C3CF3"/>
    <w:rsid w:val="17914A45"/>
    <w:rsid w:val="1795581E"/>
    <w:rsid w:val="179761F4"/>
    <w:rsid w:val="179B7A92"/>
    <w:rsid w:val="179D6BFE"/>
    <w:rsid w:val="179E7583"/>
    <w:rsid w:val="179E7D54"/>
    <w:rsid w:val="17A85AB1"/>
    <w:rsid w:val="17B07838"/>
    <w:rsid w:val="17B467F6"/>
    <w:rsid w:val="17CB2353"/>
    <w:rsid w:val="17CB6D2A"/>
    <w:rsid w:val="17CD1C16"/>
    <w:rsid w:val="17CE7E68"/>
    <w:rsid w:val="17D21779"/>
    <w:rsid w:val="17D365AD"/>
    <w:rsid w:val="17D94892"/>
    <w:rsid w:val="17DB0B09"/>
    <w:rsid w:val="17DB3FC5"/>
    <w:rsid w:val="17E253E0"/>
    <w:rsid w:val="17EA5768"/>
    <w:rsid w:val="17EA5EE2"/>
    <w:rsid w:val="17EB7C26"/>
    <w:rsid w:val="17EC02EE"/>
    <w:rsid w:val="17EC0975"/>
    <w:rsid w:val="17F30C0D"/>
    <w:rsid w:val="17FA49A5"/>
    <w:rsid w:val="17FC7FF9"/>
    <w:rsid w:val="180026B8"/>
    <w:rsid w:val="18025745"/>
    <w:rsid w:val="18065E2F"/>
    <w:rsid w:val="180E295A"/>
    <w:rsid w:val="18110243"/>
    <w:rsid w:val="181377AE"/>
    <w:rsid w:val="1816180F"/>
    <w:rsid w:val="181A30AD"/>
    <w:rsid w:val="1831056E"/>
    <w:rsid w:val="18342562"/>
    <w:rsid w:val="184337F3"/>
    <w:rsid w:val="1844637C"/>
    <w:rsid w:val="184541DC"/>
    <w:rsid w:val="18472A11"/>
    <w:rsid w:val="185322B2"/>
    <w:rsid w:val="185C1D1C"/>
    <w:rsid w:val="18697B91"/>
    <w:rsid w:val="186A71E7"/>
    <w:rsid w:val="186B514A"/>
    <w:rsid w:val="186F6D40"/>
    <w:rsid w:val="18707171"/>
    <w:rsid w:val="18754787"/>
    <w:rsid w:val="187D7187"/>
    <w:rsid w:val="1884266C"/>
    <w:rsid w:val="188744BB"/>
    <w:rsid w:val="18875E29"/>
    <w:rsid w:val="18891FE1"/>
    <w:rsid w:val="18950986"/>
    <w:rsid w:val="18AE64DD"/>
    <w:rsid w:val="18B85EDE"/>
    <w:rsid w:val="18BC1CF9"/>
    <w:rsid w:val="18CC0A2E"/>
    <w:rsid w:val="18D03717"/>
    <w:rsid w:val="18D3563A"/>
    <w:rsid w:val="18D35DC8"/>
    <w:rsid w:val="18D86048"/>
    <w:rsid w:val="18E25825"/>
    <w:rsid w:val="18F51424"/>
    <w:rsid w:val="18F558C8"/>
    <w:rsid w:val="18F7505E"/>
    <w:rsid w:val="19011342"/>
    <w:rsid w:val="191024F7"/>
    <w:rsid w:val="191700A7"/>
    <w:rsid w:val="191E3427"/>
    <w:rsid w:val="192623C0"/>
    <w:rsid w:val="19263CD4"/>
    <w:rsid w:val="193627AE"/>
    <w:rsid w:val="193A0729"/>
    <w:rsid w:val="193D6E80"/>
    <w:rsid w:val="19463C5C"/>
    <w:rsid w:val="19466124"/>
    <w:rsid w:val="19571BA8"/>
    <w:rsid w:val="19583F04"/>
    <w:rsid w:val="19597840"/>
    <w:rsid w:val="195F2D42"/>
    <w:rsid w:val="196877B3"/>
    <w:rsid w:val="19742C0E"/>
    <w:rsid w:val="19903517"/>
    <w:rsid w:val="1993541D"/>
    <w:rsid w:val="1995475F"/>
    <w:rsid w:val="1996127A"/>
    <w:rsid w:val="19A46E95"/>
    <w:rsid w:val="19AA0206"/>
    <w:rsid w:val="19B60EF7"/>
    <w:rsid w:val="19B7492C"/>
    <w:rsid w:val="19BA5ACB"/>
    <w:rsid w:val="19BD0194"/>
    <w:rsid w:val="19BE07F2"/>
    <w:rsid w:val="19C04143"/>
    <w:rsid w:val="19CE12D1"/>
    <w:rsid w:val="19CE331B"/>
    <w:rsid w:val="19E324B7"/>
    <w:rsid w:val="19E716B5"/>
    <w:rsid w:val="19F26602"/>
    <w:rsid w:val="19FD2C86"/>
    <w:rsid w:val="19FF6488"/>
    <w:rsid w:val="1A0E3F55"/>
    <w:rsid w:val="1A180F50"/>
    <w:rsid w:val="1A1A3C2D"/>
    <w:rsid w:val="1A247CCD"/>
    <w:rsid w:val="1A2D6D25"/>
    <w:rsid w:val="1A3416C9"/>
    <w:rsid w:val="1A3904DC"/>
    <w:rsid w:val="1A4B6AA6"/>
    <w:rsid w:val="1A4C633B"/>
    <w:rsid w:val="1A4D0422"/>
    <w:rsid w:val="1A4E703E"/>
    <w:rsid w:val="1A501008"/>
    <w:rsid w:val="1A57334F"/>
    <w:rsid w:val="1A5C4AAD"/>
    <w:rsid w:val="1A644AB4"/>
    <w:rsid w:val="1A6C19B0"/>
    <w:rsid w:val="1A6E5932"/>
    <w:rsid w:val="1A8B0593"/>
    <w:rsid w:val="1A8E1B30"/>
    <w:rsid w:val="1A937147"/>
    <w:rsid w:val="1A976744"/>
    <w:rsid w:val="1A9F3D3E"/>
    <w:rsid w:val="1AA00740"/>
    <w:rsid w:val="1AA44EB0"/>
    <w:rsid w:val="1AA720D8"/>
    <w:rsid w:val="1AA72BF2"/>
    <w:rsid w:val="1AAC1FB7"/>
    <w:rsid w:val="1AB01AA7"/>
    <w:rsid w:val="1AB532B7"/>
    <w:rsid w:val="1AB5530F"/>
    <w:rsid w:val="1AC60538"/>
    <w:rsid w:val="1AC92B69"/>
    <w:rsid w:val="1AC94917"/>
    <w:rsid w:val="1AD57D22"/>
    <w:rsid w:val="1AD91DD2"/>
    <w:rsid w:val="1AE6371B"/>
    <w:rsid w:val="1AE716E6"/>
    <w:rsid w:val="1AEE0B26"/>
    <w:rsid w:val="1AEF5F7D"/>
    <w:rsid w:val="1AF220BF"/>
    <w:rsid w:val="1AF90424"/>
    <w:rsid w:val="1AFF47DC"/>
    <w:rsid w:val="1B02775A"/>
    <w:rsid w:val="1B05001F"/>
    <w:rsid w:val="1B0E13DB"/>
    <w:rsid w:val="1B0E4A1F"/>
    <w:rsid w:val="1B1065DC"/>
    <w:rsid w:val="1B13565A"/>
    <w:rsid w:val="1B1502C9"/>
    <w:rsid w:val="1B161E99"/>
    <w:rsid w:val="1B293607"/>
    <w:rsid w:val="1B2A7AAB"/>
    <w:rsid w:val="1B2E0C1E"/>
    <w:rsid w:val="1B316778"/>
    <w:rsid w:val="1B375D24"/>
    <w:rsid w:val="1B3F107D"/>
    <w:rsid w:val="1B407F14"/>
    <w:rsid w:val="1B4E59FB"/>
    <w:rsid w:val="1B506DE6"/>
    <w:rsid w:val="1B522B5E"/>
    <w:rsid w:val="1B522BA3"/>
    <w:rsid w:val="1B5508A0"/>
    <w:rsid w:val="1B5B5EB7"/>
    <w:rsid w:val="1B5C39DD"/>
    <w:rsid w:val="1B5F2983"/>
    <w:rsid w:val="1B692E87"/>
    <w:rsid w:val="1B6A198A"/>
    <w:rsid w:val="1B7A671A"/>
    <w:rsid w:val="1B87331E"/>
    <w:rsid w:val="1B8C6EB1"/>
    <w:rsid w:val="1B9E72CC"/>
    <w:rsid w:val="1BAF1D5E"/>
    <w:rsid w:val="1BB15325"/>
    <w:rsid w:val="1BBC26CD"/>
    <w:rsid w:val="1BBC6DE4"/>
    <w:rsid w:val="1BBE70C8"/>
    <w:rsid w:val="1BC109AC"/>
    <w:rsid w:val="1BC25F36"/>
    <w:rsid w:val="1BC96BF7"/>
    <w:rsid w:val="1BCC78C3"/>
    <w:rsid w:val="1BCE3A27"/>
    <w:rsid w:val="1BDC68CC"/>
    <w:rsid w:val="1BDE3E81"/>
    <w:rsid w:val="1BE1664E"/>
    <w:rsid w:val="1BE259D0"/>
    <w:rsid w:val="1BF9747E"/>
    <w:rsid w:val="1C026F58"/>
    <w:rsid w:val="1C070B29"/>
    <w:rsid w:val="1C0D4FC0"/>
    <w:rsid w:val="1C110640"/>
    <w:rsid w:val="1C2F1943"/>
    <w:rsid w:val="1C303395"/>
    <w:rsid w:val="1C3B24AB"/>
    <w:rsid w:val="1C3C596E"/>
    <w:rsid w:val="1C421795"/>
    <w:rsid w:val="1C4A7CD9"/>
    <w:rsid w:val="1C4F52EF"/>
    <w:rsid w:val="1C507C76"/>
    <w:rsid w:val="1C53661F"/>
    <w:rsid w:val="1C55565A"/>
    <w:rsid w:val="1C5C05B4"/>
    <w:rsid w:val="1C5E5533"/>
    <w:rsid w:val="1C6D03FE"/>
    <w:rsid w:val="1C6D2A34"/>
    <w:rsid w:val="1C7B3B51"/>
    <w:rsid w:val="1C7C21B8"/>
    <w:rsid w:val="1C7F5BD5"/>
    <w:rsid w:val="1C876837"/>
    <w:rsid w:val="1C8E5E18"/>
    <w:rsid w:val="1C8F0721"/>
    <w:rsid w:val="1C9A2A0F"/>
    <w:rsid w:val="1C9D6AB7"/>
    <w:rsid w:val="1CA55E40"/>
    <w:rsid w:val="1CB03FE0"/>
    <w:rsid w:val="1CBB4733"/>
    <w:rsid w:val="1CC21F65"/>
    <w:rsid w:val="1CC75A18"/>
    <w:rsid w:val="1CCB2F2D"/>
    <w:rsid w:val="1CCB427A"/>
    <w:rsid w:val="1CCE090A"/>
    <w:rsid w:val="1CD112B9"/>
    <w:rsid w:val="1CD22FE6"/>
    <w:rsid w:val="1CDE797A"/>
    <w:rsid w:val="1CE974F2"/>
    <w:rsid w:val="1CEA2EE7"/>
    <w:rsid w:val="1CF0262F"/>
    <w:rsid w:val="1CF51455"/>
    <w:rsid w:val="1CF739BD"/>
    <w:rsid w:val="1CF80B3B"/>
    <w:rsid w:val="1CF90066"/>
    <w:rsid w:val="1CFD2F9D"/>
    <w:rsid w:val="1D00687D"/>
    <w:rsid w:val="1D01483C"/>
    <w:rsid w:val="1D023E30"/>
    <w:rsid w:val="1D097B94"/>
    <w:rsid w:val="1D0B56BA"/>
    <w:rsid w:val="1D111560"/>
    <w:rsid w:val="1D185BC6"/>
    <w:rsid w:val="1D253B76"/>
    <w:rsid w:val="1D262DEB"/>
    <w:rsid w:val="1D277ED7"/>
    <w:rsid w:val="1D293D92"/>
    <w:rsid w:val="1D2C73AE"/>
    <w:rsid w:val="1D350027"/>
    <w:rsid w:val="1D3544E5"/>
    <w:rsid w:val="1D3A1AF6"/>
    <w:rsid w:val="1D3A7F00"/>
    <w:rsid w:val="1D3C487A"/>
    <w:rsid w:val="1D411828"/>
    <w:rsid w:val="1D4554EB"/>
    <w:rsid w:val="1D4A003A"/>
    <w:rsid w:val="1D4A4785"/>
    <w:rsid w:val="1D4E0590"/>
    <w:rsid w:val="1D697C64"/>
    <w:rsid w:val="1D6C4D49"/>
    <w:rsid w:val="1D772EF0"/>
    <w:rsid w:val="1D78005B"/>
    <w:rsid w:val="1D796E2B"/>
    <w:rsid w:val="1D7A45EE"/>
    <w:rsid w:val="1D804CBF"/>
    <w:rsid w:val="1D823D48"/>
    <w:rsid w:val="1D8329D6"/>
    <w:rsid w:val="1D8D60CF"/>
    <w:rsid w:val="1D8F496B"/>
    <w:rsid w:val="1D903E12"/>
    <w:rsid w:val="1D976723"/>
    <w:rsid w:val="1DAE0EEE"/>
    <w:rsid w:val="1DBD0313"/>
    <w:rsid w:val="1DBF3C9C"/>
    <w:rsid w:val="1DC37D43"/>
    <w:rsid w:val="1DC55869"/>
    <w:rsid w:val="1DD030F2"/>
    <w:rsid w:val="1DD0420E"/>
    <w:rsid w:val="1DD7202F"/>
    <w:rsid w:val="1DD77F34"/>
    <w:rsid w:val="1DE23EDD"/>
    <w:rsid w:val="1DE24B0A"/>
    <w:rsid w:val="1DE32193"/>
    <w:rsid w:val="1DE95121"/>
    <w:rsid w:val="1DEB4894"/>
    <w:rsid w:val="1DF15646"/>
    <w:rsid w:val="1E0345E3"/>
    <w:rsid w:val="1E0740D4"/>
    <w:rsid w:val="1E0F4B71"/>
    <w:rsid w:val="1E14074D"/>
    <w:rsid w:val="1E22708F"/>
    <w:rsid w:val="1E2F4C23"/>
    <w:rsid w:val="1E3032B9"/>
    <w:rsid w:val="1E391DB3"/>
    <w:rsid w:val="1E3D5C30"/>
    <w:rsid w:val="1E484B0F"/>
    <w:rsid w:val="1E4A0464"/>
    <w:rsid w:val="1E4D5AA6"/>
    <w:rsid w:val="1E522E75"/>
    <w:rsid w:val="1E542DBE"/>
    <w:rsid w:val="1E560155"/>
    <w:rsid w:val="1E595C81"/>
    <w:rsid w:val="1E6B17A0"/>
    <w:rsid w:val="1E786901"/>
    <w:rsid w:val="1E827BFE"/>
    <w:rsid w:val="1E860CC4"/>
    <w:rsid w:val="1E8763E8"/>
    <w:rsid w:val="1E88302A"/>
    <w:rsid w:val="1E8A760D"/>
    <w:rsid w:val="1E8E167A"/>
    <w:rsid w:val="1E9806DF"/>
    <w:rsid w:val="1E9A6CD5"/>
    <w:rsid w:val="1E9E60BA"/>
    <w:rsid w:val="1EA63A94"/>
    <w:rsid w:val="1EAC07D7"/>
    <w:rsid w:val="1EB3600A"/>
    <w:rsid w:val="1EB847A3"/>
    <w:rsid w:val="1EBA1146"/>
    <w:rsid w:val="1EBA1B36"/>
    <w:rsid w:val="1EBD0C36"/>
    <w:rsid w:val="1ED41ADC"/>
    <w:rsid w:val="1ED61CF8"/>
    <w:rsid w:val="1EDD6BE3"/>
    <w:rsid w:val="1EDF4596"/>
    <w:rsid w:val="1EE066D3"/>
    <w:rsid w:val="1EE64F3E"/>
    <w:rsid w:val="1EE66C2B"/>
    <w:rsid w:val="1EE902BF"/>
    <w:rsid w:val="1EEB7551"/>
    <w:rsid w:val="1EF00B81"/>
    <w:rsid w:val="1EF930AB"/>
    <w:rsid w:val="1EFD1033"/>
    <w:rsid w:val="1F10430A"/>
    <w:rsid w:val="1F122D30"/>
    <w:rsid w:val="1F1B7C6C"/>
    <w:rsid w:val="1F293222"/>
    <w:rsid w:val="1F2B6540"/>
    <w:rsid w:val="1F2F7B8D"/>
    <w:rsid w:val="1F3215D5"/>
    <w:rsid w:val="1F3527CB"/>
    <w:rsid w:val="1F3D3B25"/>
    <w:rsid w:val="1F435340"/>
    <w:rsid w:val="1F460C2C"/>
    <w:rsid w:val="1F525822"/>
    <w:rsid w:val="1F5E1381"/>
    <w:rsid w:val="1F5F1CED"/>
    <w:rsid w:val="1F69491A"/>
    <w:rsid w:val="1F6E6866"/>
    <w:rsid w:val="1F70719C"/>
    <w:rsid w:val="1F7A2683"/>
    <w:rsid w:val="1F7C464D"/>
    <w:rsid w:val="1F7E2174"/>
    <w:rsid w:val="1F8359DC"/>
    <w:rsid w:val="1F853CF8"/>
    <w:rsid w:val="1F890B18"/>
    <w:rsid w:val="1F8B1D0E"/>
    <w:rsid w:val="1F973235"/>
    <w:rsid w:val="1F9E2816"/>
    <w:rsid w:val="1FA12306"/>
    <w:rsid w:val="1FA54B79"/>
    <w:rsid w:val="1FB503DB"/>
    <w:rsid w:val="1FC6630C"/>
    <w:rsid w:val="1FCC441A"/>
    <w:rsid w:val="1FCC65D7"/>
    <w:rsid w:val="1FD10EDA"/>
    <w:rsid w:val="1FD3081F"/>
    <w:rsid w:val="1FD50966"/>
    <w:rsid w:val="1FD76D68"/>
    <w:rsid w:val="1FD91AA0"/>
    <w:rsid w:val="1FDA0306"/>
    <w:rsid w:val="1FDD1ED7"/>
    <w:rsid w:val="1FDF6C9C"/>
    <w:rsid w:val="1FE579F3"/>
    <w:rsid w:val="1FF81857"/>
    <w:rsid w:val="1FFE53C0"/>
    <w:rsid w:val="20087C8F"/>
    <w:rsid w:val="20090CA6"/>
    <w:rsid w:val="200A3A07"/>
    <w:rsid w:val="200A7EAB"/>
    <w:rsid w:val="200F7270"/>
    <w:rsid w:val="201E6709"/>
    <w:rsid w:val="20216FA3"/>
    <w:rsid w:val="20270A5D"/>
    <w:rsid w:val="202820DF"/>
    <w:rsid w:val="202D3B9A"/>
    <w:rsid w:val="2031368A"/>
    <w:rsid w:val="20421B4C"/>
    <w:rsid w:val="20457135"/>
    <w:rsid w:val="204A02A8"/>
    <w:rsid w:val="20514B81"/>
    <w:rsid w:val="20592926"/>
    <w:rsid w:val="205B625D"/>
    <w:rsid w:val="205F10D6"/>
    <w:rsid w:val="20622C82"/>
    <w:rsid w:val="20653333"/>
    <w:rsid w:val="206B1AB6"/>
    <w:rsid w:val="206E7D0B"/>
    <w:rsid w:val="207377A1"/>
    <w:rsid w:val="20762E2E"/>
    <w:rsid w:val="207C1053"/>
    <w:rsid w:val="207E040D"/>
    <w:rsid w:val="207F1C95"/>
    <w:rsid w:val="208619CF"/>
    <w:rsid w:val="208D0053"/>
    <w:rsid w:val="2093536A"/>
    <w:rsid w:val="20967991"/>
    <w:rsid w:val="209D2ACD"/>
    <w:rsid w:val="20A62061"/>
    <w:rsid w:val="20AA6F98"/>
    <w:rsid w:val="20B135CD"/>
    <w:rsid w:val="20C0056A"/>
    <w:rsid w:val="20C04845"/>
    <w:rsid w:val="20C462AC"/>
    <w:rsid w:val="20CC5585"/>
    <w:rsid w:val="20CE0ED9"/>
    <w:rsid w:val="20CF4C51"/>
    <w:rsid w:val="20D858B3"/>
    <w:rsid w:val="20DA5ACF"/>
    <w:rsid w:val="20DD111C"/>
    <w:rsid w:val="20E23DA8"/>
    <w:rsid w:val="20E51C8A"/>
    <w:rsid w:val="20F25E13"/>
    <w:rsid w:val="20F52909"/>
    <w:rsid w:val="20F80C19"/>
    <w:rsid w:val="210034BB"/>
    <w:rsid w:val="2103068E"/>
    <w:rsid w:val="2103357D"/>
    <w:rsid w:val="21040FA6"/>
    <w:rsid w:val="210F6024"/>
    <w:rsid w:val="21120393"/>
    <w:rsid w:val="21182154"/>
    <w:rsid w:val="211D59BC"/>
    <w:rsid w:val="21221B51"/>
    <w:rsid w:val="212840C2"/>
    <w:rsid w:val="2136082C"/>
    <w:rsid w:val="213A47C0"/>
    <w:rsid w:val="214557F5"/>
    <w:rsid w:val="21464F13"/>
    <w:rsid w:val="2148760A"/>
    <w:rsid w:val="214B26FC"/>
    <w:rsid w:val="21515666"/>
    <w:rsid w:val="21674E89"/>
    <w:rsid w:val="216C6E3A"/>
    <w:rsid w:val="216E6218"/>
    <w:rsid w:val="21703D3E"/>
    <w:rsid w:val="21863561"/>
    <w:rsid w:val="218A2AC3"/>
    <w:rsid w:val="218B501C"/>
    <w:rsid w:val="218F675D"/>
    <w:rsid w:val="219E23A2"/>
    <w:rsid w:val="21BA145D"/>
    <w:rsid w:val="21C11ADD"/>
    <w:rsid w:val="21CA1CEC"/>
    <w:rsid w:val="21E223D7"/>
    <w:rsid w:val="21E604A4"/>
    <w:rsid w:val="21EC38E3"/>
    <w:rsid w:val="21ED3572"/>
    <w:rsid w:val="21F2058D"/>
    <w:rsid w:val="21F56927"/>
    <w:rsid w:val="21F7698C"/>
    <w:rsid w:val="21FA6B5D"/>
    <w:rsid w:val="221C3EC6"/>
    <w:rsid w:val="221F7512"/>
    <w:rsid w:val="22322E41"/>
    <w:rsid w:val="22422833"/>
    <w:rsid w:val="224828BC"/>
    <w:rsid w:val="224A36CE"/>
    <w:rsid w:val="224A795F"/>
    <w:rsid w:val="225075CA"/>
    <w:rsid w:val="2254722D"/>
    <w:rsid w:val="225B4C45"/>
    <w:rsid w:val="225E6EE8"/>
    <w:rsid w:val="226202D0"/>
    <w:rsid w:val="22627A44"/>
    <w:rsid w:val="226A69DF"/>
    <w:rsid w:val="22782461"/>
    <w:rsid w:val="227E2441"/>
    <w:rsid w:val="228013C5"/>
    <w:rsid w:val="228A4EBB"/>
    <w:rsid w:val="228C1830"/>
    <w:rsid w:val="228D4917"/>
    <w:rsid w:val="228F28EA"/>
    <w:rsid w:val="22925F36"/>
    <w:rsid w:val="22970B49"/>
    <w:rsid w:val="229B1F1F"/>
    <w:rsid w:val="22A83399"/>
    <w:rsid w:val="22A8556C"/>
    <w:rsid w:val="22A92FC0"/>
    <w:rsid w:val="22AA2927"/>
    <w:rsid w:val="22AC5E21"/>
    <w:rsid w:val="22B152C2"/>
    <w:rsid w:val="22B23371"/>
    <w:rsid w:val="22B34D09"/>
    <w:rsid w:val="22BE678F"/>
    <w:rsid w:val="22C2581B"/>
    <w:rsid w:val="22C87CCC"/>
    <w:rsid w:val="22D44DA5"/>
    <w:rsid w:val="22EC2FA6"/>
    <w:rsid w:val="22ED517E"/>
    <w:rsid w:val="22EE36EF"/>
    <w:rsid w:val="22F66B1C"/>
    <w:rsid w:val="230010F2"/>
    <w:rsid w:val="2300714A"/>
    <w:rsid w:val="230C5CE8"/>
    <w:rsid w:val="230E7CB2"/>
    <w:rsid w:val="231449BC"/>
    <w:rsid w:val="23164DB9"/>
    <w:rsid w:val="2317488E"/>
    <w:rsid w:val="2322550C"/>
    <w:rsid w:val="232474D6"/>
    <w:rsid w:val="232D6F4E"/>
    <w:rsid w:val="233A4603"/>
    <w:rsid w:val="23425BAE"/>
    <w:rsid w:val="23427D72"/>
    <w:rsid w:val="234B6811"/>
    <w:rsid w:val="235A6021"/>
    <w:rsid w:val="235B3553"/>
    <w:rsid w:val="236621EA"/>
    <w:rsid w:val="236A4AB2"/>
    <w:rsid w:val="236C1300"/>
    <w:rsid w:val="236D434D"/>
    <w:rsid w:val="236E0751"/>
    <w:rsid w:val="2371719F"/>
    <w:rsid w:val="2372421F"/>
    <w:rsid w:val="23754AA7"/>
    <w:rsid w:val="23763C6B"/>
    <w:rsid w:val="237648E2"/>
    <w:rsid w:val="23775858"/>
    <w:rsid w:val="23775EBE"/>
    <w:rsid w:val="2383391F"/>
    <w:rsid w:val="238743FD"/>
    <w:rsid w:val="23880ED2"/>
    <w:rsid w:val="238B1303"/>
    <w:rsid w:val="238B4E5F"/>
    <w:rsid w:val="238C5412"/>
    <w:rsid w:val="238E340D"/>
    <w:rsid w:val="239C6446"/>
    <w:rsid w:val="239D4B92"/>
    <w:rsid w:val="239E3797"/>
    <w:rsid w:val="23A14683"/>
    <w:rsid w:val="23A75A11"/>
    <w:rsid w:val="23A83C63"/>
    <w:rsid w:val="23B06DDE"/>
    <w:rsid w:val="23B22205"/>
    <w:rsid w:val="23B94855"/>
    <w:rsid w:val="23BA3996"/>
    <w:rsid w:val="23C56C84"/>
    <w:rsid w:val="23C95987"/>
    <w:rsid w:val="23D031BA"/>
    <w:rsid w:val="23D46A08"/>
    <w:rsid w:val="23D55675"/>
    <w:rsid w:val="23D95BA9"/>
    <w:rsid w:val="23E7488F"/>
    <w:rsid w:val="23E91523"/>
    <w:rsid w:val="23EB1DA2"/>
    <w:rsid w:val="23EB3AFF"/>
    <w:rsid w:val="23F073B8"/>
    <w:rsid w:val="23FC5D5D"/>
    <w:rsid w:val="240370EB"/>
    <w:rsid w:val="24062738"/>
    <w:rsid w:val="24072F40"/>
    <w:rsid w:val="24084702"/>
    <w:rsid w:val="240F3CE2"/>
    <w:rsid w:val="2410658D"/>
    <w:rsid w:val="24172B97"/>
    <w:rsid w:val="241770A9"/>
    <w:rsid w:val="2418246B"/>
    <w:rsid w:val="24191088"/>
    <w:rsid w:val="241D28D7"/>
    <w:rsid w:val="241D6C44"/>
    <w:rsid w:val="241F1A4B"/>
    <w:rsid w:val="242552B4"/>
    <w:rsid w:val="24264EE2"/>
    <w:rsid w:val="242E4529"/>
    <w:rsid w:val="24384870"/>
    <w:rsid w:val="243E0123"/>
    <w:rsid w:val="243F5C4A"/>
    <w:rsid w:val="2440159D"/>
    <w:rsid w:val="24413061"/>
    <w:rsid w:val="244E0470"/>
    <w:rsid w:val="24573312"/>
    <w:rsid w:val="245B77EA"/>
    <w:rsid w:val="245C67FB"/>
    <w:rsid w:val="245D4468"/>
    <w:rsid w:val="246B6726"/>
    <w:rsid w:val="24726D5D"/>
    <w:rsid w:val="24743408"/>
    <w:rsid w:val="24771829"/>
    <w:rsid w:val="247E2C16"/>
    <w:rsid w:val="247E43DB"/>
    <w:rsid w:val="248B19E3"/>
    <w:rsid w:val="248C2378"/>
    <w:rsid w:val="248D4C07"/>
    <w:rsid w:val="248F6DAE"/>
    <w:rsid w:val="249D42E2"/>
    <w:rsid w:val="24AE6199"/>
    <w:rsid w:val="24B41592"/>
    <w:rsid w:val="24D12D46"/>
    <w:rsid w:val="24E366F5"/>
    <w:rsid w:val="24EB14F8"/>
    <w:rsid w:val="24F10479"/>
    <w:rsid w:val="24F37160"/>
    <w:rsid w:val="24FB7DC2"/>
    <w:rsid w:val="2500362B"/>
    <w:rsid w:val="250C0222"/>
    <w:rsid w:val="250C6474"/>
    <w:rsid w:val="251227B8"/>
    <w:rsid w:val="251513CC"/>
    <w:rsid w:val="25195EAB"/>
    <w:rsid w:val="251A0B90"/>
    <w:rsid w:val="251F53B9"/>
    <w:rsid w:val="25273089"/>
    <w:rsid w:val="25355D17"/>
    <w:rsid w:val="253D662D"/>
    <w:rsid w:val="25501C63"/>
    <w:rsid w:val="25506FCA"/>
    <w:rsid w:val="25594797"/>
    <w:rsid w:val="25657932"/>
    <w:rsid w:val="256736AA"/>
    <w:rsid w:val="2569703E"/>
    <w:rsid w:val="25710B40"/>
    <w:rsid w:val="257471DF"/>
    <w:rsid w:val="25783B09"/>
    <w:rsid w:val="25792174"/>
    <w:rsid w:val="257F6C45"/>
    <w:rsid w:val="258204E4"/>
    <w:rsid w:val="25857601"/>
    <w:rsid w:val="25881F17"/>
    <w:rsid w:val="258B55EA"/>
    <w:rsid w:val="2593624D"/>
    <w:rsid w:val="25976892"/>
    <w:rsid w:val="259C2544"/>
    <w:rsid w:val="25B05051"/>
    <w:rsid w:val="25B12B77"/>
    <w:rsid w:val="25B23C9F"/>
    <w:rsid w:val="25B6779D"/>
    <w:rsid w:val="25C64874"/>
    <w:rsid w:val="25C74149"/>
    <w:rsid w:val="25D074A1"/>
    <w:rsid w:val="25D367E0"/>
    <w:rsid w:val="25DB6B75"/>
    <w:rsid w:val="25DC466A"/>
    <w:rsid w:val="25E00DF0"/>
    <w:rsid w:val="25E46AA9"/>
    <w:rsid w:val="25E6099A"/>
    <w:rsid w:val="25EF2793"/>
    <w:rsid w:val="25F64996"/>
    <w:rsid w:val="25FA2770"/>
    <w:rsid w:val="25FB03C6"/>
    <w:rsid w:val="25FF2AF6"/>
    <w:rsid w:val="26052C43"/>
    <w:rsid w:val="260B342E"/>
    <w:rsid w:val="260E3B25"/>
    <w:rsid w:val="26127ABA"/>
    <w:rsid w:val="2614262D"/>
    <w:rsid w:val="261564D3"/>
    <w:rsid w:val="26182921"/>
    <w:rsid w:val="261911A9"/>
    <w:rsid w:val="26235823"/>
    <w:rsid w:val="2624159B"/>
    <w:rsid w:val="26282E39"/>
    <w:rsid w:val="26321F0A"/>
    <w:rsid w:val="26342981"/>
    <w:rsid w:val="2640208A"/>
    <w:rsid w:val="26445799"/>
    <w:rsid w:val="2646034A"/>
    <w:rsid w:val="264A2E70"/>
    <w:rsid w:val="265728E7"/>
    <w:rsid w:val="265A121A"/>
    <w:rsid w:val="265A245A"/>
    <w:rsid w:val="268F4C66"/>
    <w:rsid w:val="269531B8"/>
    <w:rsid w:val="26A14CA7"/>
    <w:rsid w:val="26A34BB6"/>
    <w:rsid w:val="26A5652B"/>
    <w:rsid w:val="26BA551A"/>
    <w:rsid w:val="26D46B1D"/>
    <w:rsid w:val="26E315A7"/>
    <w:rsid w:val="26EA311E"/>
    <w:rsid w:val="26EC30EB"/>
    <w:rsid w:val="26EF1BA9"/>
    <w:rsid w:val="26F251F5"/>
    <w:rsid w:val="26F471BF"/>
    <w:rsid w:val="26FE5731"/>
    <w:rsid w:val="27004A54"/>
    <w:rsid w:val="270D4356"/>
    <w:rsid w:val="271843F8"/>
    <w:rsid w:val="27203BCE"/>
    <w:rsid w:val="272E69CC"/>
    <w:rsid w:val="27335850"/>
    <w:rsid w:val="273870AC"/>
    <w:rsid w:val="273A1BBE"/>
    <w:rsid w:val="273B0DB9"/>
    <w:rsid w:val="273D46C2"/>
    <w:rsid w:val="27460D8B"/>
    <w:rsid w:val="274719E5"/>
    <w:rsid w:val="274B2A69"/>
    <w:rsid w:val="274B5A48"/>
    <w:rsid w:val="275B1094"/>
    <w:rsid w:val="275F0ADD"/>
    <w:rsid w:val="276E51C4"/>
    <w:rsid w:val="277A3B68"/>
    <w:rsid w:val="277E4B5A"/>
    <w:rsid w:val="2786386C"/>
    <w:rsid w:val="279616FB"/>
    <w:rsid w:val="27972FBA"/>
    <w:rsid w:val="27A02EA3"/>
    <w:rsid w:val="27A41E0B"/>
    <w:rsid w:val="27A50FF9"/>
    <w:rsid w:val="27A51EE8"/>
    <w:rsid w:val="27A72484"/>
    <w:rsid w:val="27AF1DC7"/>
    <w:rsid w:val="27B16968"/>
    <w:rsid w:val="27BE4536"/>
    <w:rsid w:val="27C748D4"/>
    <w:rsid w:val="27D2592A"/>
    <w:rsid w:val="27D537E2"/>
    <w:rsid w:val="27D85E6D"/>
    <w:rsid w:val="27E9484A"/>
    <w:rsid w:val="27F63100"/>
    <w:rsid w:val="27F841F4"/>
    <w:rsid w:val="27F84F11"/>
    <w:rsid w:val="280B2A12"/>
    <w:rsid w:val="28180C8B"/>
    <w:rsid w:val="281C69CE"/>
    <w:rsid w:val="28253870"/>
    <w:rsid w:val="282A0029"/>
    <w:rsid w:val="28305FD5"/>
    <w:rsid w:val="2831375F"/>
    <w:rsid w:val="28370E0C"/>
    <w:rsid w:val="28397580"/>
    <w:rsid w:val="28441A80"/>
    <w:rsid w:val="28497097"/>
    <w:rsid w:val="284E59A3"/>
    <w:rsid w:val="28506677"/>
    <w:rsid w:val="2852419D"/>
    <w:rsid w:val="285919D0"/>
    <w:rsid w:val="28610884"/>
    <w:rsid w:val="2864183D"/>
    <w:rsid w:val="2865307B"/>
    <w:rsid w:val="28667C49"/>
    <w:rsid w:val="28745326"/>
    <w:rsid w:val="2874772F"/>
    <w:rsid w:val="28773C04"/>
    <w:rsid w:val="287A28CE"/>
    <w:rsid w:val="287C121A"/>
    <w:rsid w:val="28814A83"/>
    <w:rsid w:val="28902F18"/>
    <w:rsid w:val="289538E0"/>
    <w:rsid w:val="28977C4E"/>
    <w:rsid w:val="289C6ED0"/>
    <w:rsid w:val="28A17393"/>
    <w:rsid w:val="28B5472C"/>
    <w:rsid w:val="28B72C13"/>
    <w:rsid w:val="28B809BA"/>
    <w:rsid w:val="28B9421C"/>
    <w:rsid w:val="28C903F8"/>
    <w:rsid w:val="28CD2D8F"/>
    <w:rsid w:val="28CF0BEA"/>
    <w:rsid w:val="28D1550F"/>
    <w:rsid w:val="28DB0175"/>
    <w:rsid w:val="28DE1AE8"/>
    <w:rsid w:val="28DF0890"/>
    <w:rsid w:val="28E068D8"/>
    <w:rsid w:val="28E3055C"/>
    <w:rsid w:val="28E76FDC"/>
    <w:rsid w:val="28EB0229"/>
    <w:rsid w:val="29034CA6"/>
    <w:rsid w:val="2905186A"/>
    <w:rsid w:val="290D4568"/>
    <w:rsid w:val="29162014"/>
    <w:rsid w:val="29193AD6"/>
    <w:rsid w:val="291C056A"/>
    <w:rsid w:val="291D0C4F"/>
    <w:rsid w:val="2921456F"/>
    <w:rsid w:val="2922347D"/>
    <w:rsid w:val="292D1901"/>
    <w:rsid w:val="29316DC3"/>
    <w:rsid w:val="29334A53"/>
    <w:rsid w:val="29363ABF"/>
    <w:rsid w:val="29393598"/>
    <w:rsid w:val="293D309F"/>
    <w:rsid w:val="29431D33"/>
    <w:rsid w:val="29483A3E"/>
    <w:rsid w:val="295D54F0"/>
    <w:rsid w:val="296248B4"/>
    <w:rsid w:val="296867FD"/>
    <w:rsid w:val="296B2F87"/>
    <w:rsid w:val="296E29EB"/>
    <w:rsid w:val="297168A5"/>
    <w:rsid w:val="29723DB2"/>
    <w:rsid w:val="297456EB"/>
    <w:rsid w:val="299B4658"/>
    <w:rsid w:val="29A44ECD"/>
    <w:rsid w:val="29A50C45"/>
    <w:rsid w:val="29A67492"/>
    <w:rsid w:val="29A7676B"/>
    <w:rsid w:val="29A8670C"/>
    <w:rsid w:val="29AA5774"/>
    <w:rsid w:val="29AB625B"/>
    <w:rsid w:val="29AB791D"/>
    <w:rsid w:val="29AF2FC7"/>
    <w:rsid w:val="29B03871"/>
    <w:rsid w:val="29B5792D"/>
    <w:rsid w:val="29BD5F8E"/>
    <w:rsid w:val="29BD7DEC"/>
    <w:rsid w:val="29C139B3"/>
    <w:rsid w:val="29D03CB8"/>
    <w:rsid w:val="29D92A11"/>
    <w:rsid w:val="29E229D8"/>
    <w:rsid w:val="29E259F5"/>
    <w:rsid w:val="29E32530"/>
    <w:rsid w:val="29F964B7"/>
    <w:rsid w:val="29FB3CB4"/>
    <w:rsid w:val="2A02182A"/>
    <w:rsid w:val="2A063491"/>
    <w:rsid w:val="2A07545B"/>
    <w:rsid w:val="2A104C68"/>
    <w:rsid w:val="2A1B506B"/>
    <w:rsid w:val="2A1C570A"/>
    <w:rsid w:val="2A2B114A"/>
    <w:rsid w:val="2A30050E"/>
    <w:rsid w:val="2A360DCD"/>
    <w:rsid w:val="2A3F4BF5"/>
    <w:rsid w:val="2A455B7D"/>
    <w:rsid w:val="2A4C34FB"/>
    <w:rsid w:val="2A4D0D7D"/>
    <w:rsid w:val="2A5123AC"/>
    <w:rsid w:val="2A522B7B"/>
    <w:rsid w:val="2A5C1EEB"/>
    <w:rsid w:val="2A722899"/>
    <w:rsid w:val="2A750617"/>
    <w:rsid w:val="2A8112DF"/>
    <w:rsid w:val="2A8146B4"/>
    <w:rsid w:val="2A8833B4"/>
    <w:rsid w:val="2A8C357F"/>
    <w:rsid w:val="2A982183"/>
    <w:rsid w:val="2A9B7114"/>
    <w:rsid w:val="2AB21FCA"/>
    <w:rsid w:val="2AB65EFF"/>
    <w:rsid w:val="2AC0465F"/>
    <w:rsid w:val="2ACA2711"/>
    <w:rsid w:val="2ACE1AD5"/>
    <w:rsid w:val="2AD537C6"/>
    <w:rsid w:val="2AD8789B"/>
    <w:rsid w:val="2AE0413B"/>
    <w:rsid w:val="2AE17A5A"/>
    <w:rsid w:val="2AE621F7"/>
    <w:rsid w:val="2AE87FE6"/>
    <w:rsid w:val="2AEB7C01"/>
    <w:rsid w:val="2AFE5AF5"/>
    <w:rsid w:val="2B0100FD"/>
    <w:rsid w:val="2B147E30"/>
    <w:rsid w:val="2B17347C"/>
    <w:rsid w:val="2B231E21"/>
    <w:rsid w:val="2B2F0DBD"/>
    <w:rsid w:val="2B311D07"/>
    <w:rsid w:val="2B3259DE"/>
    <w:rsid w:val="2B3E6C5B"/>
    <w:rsid w:val="2B413313"/>
    <w:rsid w:val="2B496F2B"/>
    <w:rsid w:val="2B4A6E2E"/>
    <w:rsid w:val="2B4D3793"/>
    <w:rsid w:val="2B5022F4"/>
    <w:rsid w:val="2B512787"/>
    <w:rsid w:val="2B593A95"/>
    <w:rsid w:val="2B616606"/>
    <w:rsid w:val="2B692D54"/>
    <w:rsid w:val="2B703D0C"/>
    <w:rsid w:val="2B724B56"/>
    <w:rsid w:val="2B7E52A9"/>
    <w:rsid w:val="2B8054C5"/>
    <w:rsid w:val="2B92193B"/>
    <w:rsid w:val="2B936499"/>
    <w:rsid w:val="2B944ACD"/>
    <w:rsid w:val="2B962DF8"/>
    <w:rsid w:val="2B9C6465"/>
    <w:rsid w:val="2BA03472"/>
    <w:rsid w:val="2BA0529C"/>
    <w:rsid w:val="2BA74800"/>
    <w:rsid w:val="2BAE5734"/>
    <w:rsid w:val="2BB4516F"/>
    <w:rsid w:val="2BB55A02"/>
    <w:rsid w:val="2BB56D1A"/>
    <w:rsid w:val="2BB6513C"/>
    <w:rsid w:val="2BB84C5F"/>
    <w:rsid w:val="2BBC25C2"/>
    <w:rsid w:val="2BBC3D65"/>
    <w:rsid w:val="2BC632CE"/>
    <w:rsid w:val="2BCC24B9"/>
    <w:rsid w:val="2BD106F9"/>
    <w:rsid w:val="2BD15D21"/>
    <w:rsid w:val="2BDA4570"/>
    <w:rsid w:val="2BDB094E"/>
    <w:rsid w:val="2BE7425D"/>
    <w:rsid w:val="2BEC172D"/>
    <w:rsid w:val="2C02237E"/>
    <w:rsid w:val="2C0B46C3"/>
    <w:rsid w:val="2C0C162B"/>
    <w:rsid w:val="2C0E2AD1"/>
    <w:rsid w:val="2C174A5D"/>
    <w:rsid w:val="2C245E51"/>
    <w:rsid w:val="2C286950"/>
    <w:rsid w:val="2C2E47CE"/>
    <w:rsid w:val="2C300C99"/>
    <w:rsid w:val="2C392F99"/>
    <w:rsid w:val="2C3D66CC"/>
    <w:rsid w:val="2C404422"/>
    <w:rsid w:val="2C447C32"/>
    <w:rsid w:val="2C471B3F"/>
    <w:rsid w:val="2C475BCB"/>
    <w:rsid w:val="2C506466"/>
    <w:rsid w:val="2C581F9E"/>
    <w:rsid w:val="2C583D4C"/>
    <w:rsid w:val="2C5A1872"/>
    <w:rsid w:val="2C69615E"/>
    <w:rsid w:val="2C6D5A4A"/>
    <w:rsid w:val="2C766C6A"/>
    <w:rsid w:val="2C8114F5"/>
    <w:rsid w:val="2C901738"/>
    <w:rsid w:val="2C9762B4"/>
    <w:rsid w:val="2C991043"/>
    <w:rsid w:val="2C9A25B7"/>
    <w:rsid w:val="2CAB001E"/>
    <w:rsid w:val="2CAC0361"/>
    <w:rsid w:val="2CAC2729"/>
    <w:rsid w:val="2CB137EE"/>
    <w:rsid w:val="2CB27BA3"/>
    <w:rsid w:val="2CB51D8F"/>
    <w:rsid w:val="2CBF16DD"/>
    <w:rsid w:val="2CC17B44"/>
    <w:rsid w:val="2CCF295B"/>
    <w:rsid w:val="2CCF4FA9"/>
    <w:rsid w:val="2CD2056B"/>
    <w:rsid w:val="2CD86B0E"/>
    <w:rsid w:val="2CF9108B"/>
    <w:rsid w:val="2CFF6C72"/>
    <w:rsid w:val="2D042986"/>
    <w:rsid w:val="2D0839C4"/>
    <w:rsid w:val="2D0A1C4E"/>
    <w:rsid w:val="2D19172E"/>
    <w:rsid w:val="2D1C61A5"/>
    <w:rsid w:val="2D241E80"/>
    <w:rsid w:val="2D272F02"/>
    <w:rsid w:val="2D2B320F"/>
    <w:rsid w:val="2D340315"/>
    <w:rsid w:val="2D3538CD"/>
    <w:rsid w:val="2D376058"/>
    <w:rsid w:val="2D3A42C6"/>
    <w:rsid w:val="2D3C6692"/>
    <w:rsid w:val="2D452523"/>
    <w:rsid w:val="2D47271A"/>
    <w:rsid w:val="2D4C6BC4"/>
    <w:rsid w:val="2D4F226D"/>
    <w:rsid w:val="2D5D1FAA"/>
    <w:rsid w:val="2D6159AA"/>
    <w:rsid w:val="2D6231B4"/>
    <w:rsid w:val="2D636E4D"/>
    <w:rsid w:val="2D660D58"/>
    <w:rsid w:val="2D6F5C56"/>
    <w:rsid w:val="2D71577D"/>
    <w:rsid w:val="2D7E5C34"/>
    <w:rsid w:val="2D870D8D"/>
    <w:rsid w:val="2D8D5EAE"/>
    <w:rsid w:val="2D926160"/>
    <w:rsid w:val="2D964B4D"/>
    <w:rsid w:val="2D9B0395"/>
    <w:rsid w:val="2D9E60D7"/>
    <w:rsid w:val="2DA3339D"/>
    <w:rsid w:val="2DA55B51"/>
    <w:rsid w:val="2DA97C75"/>
    <w:rsid w:val="2DAC4350"/>
    <w:rsid w:val="2DB43204"/>
    <w:rsid w:val="2DBA0F39"/>
    <w:rsid w:val="2DC23B73"/>
    <w:rsid w:val="2DC63B2B"/>
    <w:rsid w:val="2DCC2C44"/>
    <w:rsid w:val="2DCD07AE"/>
    <w:rsid w:val="2DCE15AF"/>
    <w:rsid w:val="2DD01200"/>
    <w:rsid w:val="2DD12008"/>
    <w:rsid w:val="2DDE4944"/>
    <w:rsid w:val="2DDF4725"/>
    <w:rsid w:val="2DE3282F"/>
    <w:rsid w:val="2DE41D3C"/>
    <w:rsid w:val="2DE5793A"/>
    <w:rsid w:val="2DF81343"/>
    <w:rsid w:val="2DFB2564"/>
    <w:rsid w:val="2E026666"/>
    <w:rsid w:val="2E07203C"/>
    <w:rsid w:val="2E0A551A"/>
    <w:rsid w:val="2E0B0A4C"/>
    <w:rsid w:val="2E1020C9"/>
    <w:rsid w:val="2E103B1F"/>
    <w:rsid w:val="2E123C3E"/>
    <w:rsid w:val="2E1A575D"/>
    <w:rsid w:val="2E1F040C"/>
    <w:rsid w:val="2E201A61"/>
    <w:rsid w:val="2E222864"/>
    <w:rsid w:val="2E2A28AC"/>
    <w:rsid w:val="2E2D17F5"/>
    <w:rsid w:val="2E3F3416"/>
    <w:rsid w:val="2E4722CA"/>
    <w:rsid w:val="2E4F22C4"/>
    <w:rsid w:val="2E5C19BC"/>
    <w:rsid w:val="2E5D564A"/>
    <w:rsid w:val="2E5E6DB1"/>
    <w:rsid w:val="2E652751"/>
    <w:rsid w:val="2E6C6C3B"/>
    <w:rsid w:val="2E734E6D"/>
    <w:rsid w:val="2E787373"/>
    <w:rsid w:val="2E7A572F"/>
    <w:rsid w:val="2E7D6ED6"/>
    <w:rsid w:val="2E8250B1"/>
    <w:rsid w:val="2E8423AF"/>
    <w:rsid w:val="2E846336"/>
    <w:rsid w:val="2E846E43"/>
    <w:rsid w:val="2E904769"/>
    <w:rsid w:val="2E935ECC"/>
    <w:rsid w:val="2E9A064C"/>
    <w:rsid w:val="2EA670CE"/>
    <w:rsid w:val="2EA75EFB"/>
    <w:rsid w:val="2EA8720D"/>
    <w:rsid w:val="2EBF4557"/>
    <w:rsid w:val="2EC6034D"/>
    <w:rsid w:val="2EC70A3E"/>
    <w:rsid w:val="2ED95262"/>
    <w:rsid w:val="2EDB087B"/>
    <w:rsid w:val="2EDD48C7"/>
    <w:rsid w:val="2EF1189B"/>
    <w:rsid w:val="2F057B61"/>
    <w:rsid w:val="2F1E127D"/>
    <w:rsid w:val="2F1F649C"/>
    <w:rsid w:val="2F2148C9"/>
    <w:rsid w:val="2F250891"/>
    <w:rsid w:val="2F2A7C22"/>
    <w:rsid w:val="2F343ED1"/>
    <w:rsid w:val="2F3565C7"/>
    <w:rsid w:val="2F3960B7"/>
    <w:rsid w:val="2F45680A"/>
    <w:rsid w:val="2F473FB6"/>
    <w:rsid w:val="2F587508"/>
    <w:rsid w:val="2F5B602D"/>
    <w:rsid w:val="2F5E5B1E"/>
    <w:rsid w:val="2F5E6CB5"/>
    <w:rsid w:val="2F631386"/>
    <w:rsid w:val="2F7344E2"/>
    <w:rsid w:val="2F7470EF"/>
    <w:rsid w:val="2F752042"/>
    <w:rsid w:val="2F7959D4"/>
    <w:rsid w:val="2F7B66D0"/>
    <w:rsid w:val="2F823B79"/>
    <w:rsid w:val="2F860BD0"/>
    <w:rsid w:val="2F8A4723"/>
    <w:rsid w:val="2F8B250D"/>
    <w:rsid w:val="2F8F1C84"/>
    <w:rsid w:val="2F9257C7"/>
    <w:rsid w:val="2F9504BD"/>
    <w:rsid w:val="2F9652B7"/>
    <w:rsid w:val="2F984575"/>
    <w:rsid w:val="2F984995"/>
    <w:rsid w:val="2F9E3271"/>
    <w:rsid w:val="2FA0432F"/>
    <w:rsid w:val="2FA26BEE"/>
    <w:rsid w:val="2FAA0095"/>
    <w:rsid w:val="2FAA0D63"/>
    <w:rsid w:val="2FB15E51"/>
    <w:rsid w:val="2FB41BE1"/>
    <w:rsid w:val="2FB96318"/>
    <w:rsid w:val="2FBE65BC"/>
    <w:rsid w:val="2FC736C3"/>
    <w:rsid w:val="2FC811E9"/>
    <w:rsid w:val="2FCC2A87"/>
    <w:rsid w:val="2FCC3D61"/>
    <w:rsid w:val="2FD20804"/>
    <w:rsid w:val="2FDD1C64"/>
    <w:rsid w:val="2FE57FED"/>
    <w:rsid w:val="2FE92A34"/>
    <w:rsid w:val="2FEF2C1A"/>
    <w:rsid w:val="2FEF49C8"/>
    <w:rsid w:val="2FF06A31"/>
    <w:rsid w:val="2FF32765"/>
    <w:rsid w:val="2FF67B04"/>
    <w:rsid w:val="30071A13"/>
    <w:rsid w:val="301048B5"/>
    <w:rsid w:val="302B2969"/>
    <w:rsid w:val="302E2D10"/>
    <w:rsid w:val="30454785"/>
    <w:rsid w:val="304E099E"/>
    <w:rsid w:val="304E4138"/>
    <w:rsid w:val="3058256D"/>
    <w:rsid w:val="305B7B7F"/>
    <w:rsid w:val="305D5DD5"/>
    <w:rsid w:val="305F0D35"/>
    <w:rsid w:val="305F1B4D"/>
    <w:rsid w:val="305F4F46"/>
    <w:rsid w:val="30640406"/>
    <w:rsid w:val="306B10F3"/>
    <w:rsid w:val="306D1189"/>
    <w:rsid w:val="306F78B6"/>
    <w:rsid w:val="307F0B1B"/>
    <w:rsid w:val="308032EF"/>
    <w:rsid w:val="30850E88"/>
    <w:rsid w:val="30956830"/>
    <w:rsid w:val="309F73B8"/>
    <w:rsid w:val="30A20E28"/>
    <w:rsid w:val="30A25F5A"/>
    <w:rsid w:val="30B33F48"/>
    <w:rsid w:val="30BA59FB"/>
    <w:rsid w:val="30BF0FAC"/>
    <w:rsid w:val="30CB0F91"/>
    <w:rsid w:val="30CC0CA3"/>
    <w:rsid w:val="30DD2A72"/>
    <w:rsid w:val="30DF7923"/>
    <w:rsid w:val="30E43E01"/>
    <w:rsid w:val="30E97669"/>
    <w:rsid w:val="30FD3114"/>
    <w:rsid w:val="310D2F7C"/>
    <w:rsid w:val="312566B9"/>
    <w:rsid w:val="31261D61"/>
    <w:rsid w:val="312B788D"/>
    <w:rsid w:val="31342CD2"/>
    <w:rsid w:val="313501F0"/>
    <w:rsid w:val="31440D43"/>
    <w:rsid w:val="31446754"/>
    <w:rsid w:val="314B03E7"/>
    <w:rsid w:val="314D5E4A"/>
    <w:rsid w:val="31551F9A"/>
    <w:rsid w:val="31624854"/>
    <w:rsid w:val="3163741B"/>
    <w:rsid w:val="31684A32"/>
    <w:rsid w:val="31725F19"/>
    <w:rsid w:val="31766DD7"/>
    <w:rsid w:val="31796C3F"/>
    <w:rsid w:val="317F2928"/>
    <w:rsid w:val="317F3A81"/>
    <w:rsid w:val="3181056C"/>
    <w:rsid w:val="318E00B9"/>
    <w:rsid w:val="31992E3D"/>
    <w:rsid w:val="319C46DB"/>
    <w:rsid w:val="31A63BE1"/>
    <w:rsid w:val="31AE3F66"/>
    <w:rsid w:val="31B72085"/>
    <w:rsid w:val="31C53C32"/>
    <w:rsid w:val="31CC437A"/>
    <w:rsid w:val="31CD2AE7"/>
    <w:rsid w:val="31E143EC"/>
    <w:rsid w:val="31E32B45"/>
    <w:rsid w:val="31E6163C"/>
    <w:rsid w:val="31EA142E"/>
    <w:rsid w:val="31ED63A7"/>
    <w:rsid w:val="31F17818"/>
    <w:rsid w:val="32002EBC"/>
    <w:rsid w:val="32020CA4"/>
    <w:rsid w:val="32036508"/>
    <w:rsid w:val="32083860"/>
    <w:rsid w:val="320A6C04"/>
    <w:rsid w:val="320B3384"/>
    <w:rsid w:val="320D515C"/>
    <w:rsid w:val="320F4A68"/>
    <w:rsid w:val="321D6E41"/>
    <w:rsid w:val="322748ED"/>
    <w:rsid w:val="32285F6F"/>
    <w:rsid w:val="32375895"/>
    <w:rsid w:val="323963CE"/>
    <w:rsid w:val="323A4620"/>
    <w:rsid w:val="323E6C2B"/>
    <w:rsid w:val="324527A3"/>
    <w:rsid w:val="324C4353"/>
    <w:rsid w:val="32566646"/>
    <w:rsid w:val="32577E94"/>
    <w:rsid w:val="32586854"/>
    <w:rsid w:val="325A5DEE"/>
    <w:rsid w:val="325D1894"/>
    <w:rsid w:val="326E6078"/>
    <w:rsid w:val="32732BDC"/>
    <w:rsid w:val="32747406"/>
    <w:rsid w:val="327D37D4"/>
    <w:rsid w:val="327F2033"/>
    <w:rsid w:val="3280289D"/>
    <w:rsid w:val="32805DAB"/>
    <w:rsid w:val="3281224F"/>
    <w:rsid w:val="3287538B"/>
    <w:rsid w:val="328B290C"/>
    <w:rsid w:val="328E5A24"/>
    <w:rsid w:val="329B27C7"/>
    <w:rsid w:val="329B4E1C"/>
    <w:rsid w:val="32A203C1"/>
    <w:rsid w:val="32C13348"/>
    <w:rsid w:val="32CF1457"/>
    <w:rsid w:val="32D3412D"/>
    <w:rsid w:val="32D71575"/>
    <w:rsid w:val="32D733E2"/>
    <w:rsid w:val="32E91BA2"/>
    <w:rsid w:val="32F01183"/>
    <w:rsid w:val="32F12805"/>
    <w:rsid w:val="32FA1171"/>
    <w:rsid w:val="32FA22CA"/>
    <w:rsid w:val="330566C5"/>
    <w:rsid w:val="330F1A72"/>
    <w:rsid w:val="330F657C"/>
    <w:rsid w:val="331420DA"/>
    <w:rsid w:val="331639B2"/>
    <w:rsid w:val="331C5C81"/>
    <w:rsid w:val="332B2842"/>
    <w:rsid w:val="332B3F69"/>
    <w:rsid w:val="3332624F"/>
    <w:rsid w:val="33331E0D"/>
    <w:rsid w:val="33356B95"/>
    <w:rsid w:val="33357A79"/>
    <w:rsid w:val="333746BC"/>
    <w:rsid w:val="333A23FE"/>
    <w:rsid w:val="333C0A80"/>
    <w:rsid w:val="334141A4"/>
    <w:rsid w:val="3344327C"/>
    <w:rsid w:val="334E2347"/>
    <w:rsid w:val="334F0D86"/>
    <w:rsid w:val="33576B0C"/>
    <w:rsid w:val="335C5570"/>
    <w:rsid w:val="336254B1"/>
    <w:rsid w:val="33626A63"/>
    <w:rsid w:val="33633A18"/>
    <w:rsid w:val="33662D20"/>
    <w:rsid w:val="33663A12"/>
    <w:rsid w:val="336D2778"/>
    <w:rsid w:val="336E544B"/>
    <w:rsid w:val="338329EF"/>
    <w:rsid w:val="33865643"/>
    <w:rsid w:val="338813BB"/>
    <w:rsid w:val="33886E77"/>
    <w:rsid w:val="338E6606"/>
    <w:rsid w:val="33934A73"/>
    <w:rsid w:val="3395236F"/>
    <w:rsid w:val="33A125A3"/>
    <w:rsid w:val="33A46311"/>
    <w:rsid w:val="33B05E45"/>
    <w:rsid w:val="33B176CF"/>
    <w:rsid w:val="33B2468A"/>
    <w:rsid w:val="33B32250"/>
    <w:rsid w:val="33B51A84"/>
    <w:rsid w:val="33B645E2"/>
    <w:rsid w:val="33B94C11"/>
    <w:rsid w:val="33BF097B"/>
    <w:rsid w:val="33C44616"/>
    <w:rsid w:val="33C757A7"/>
    <w:rsid w:val="33D06BDA"/>
    <w:rsid w:val="33D41C7E"/>
    <w:rsid w:val="33D44600"/>
    <w:rsid w:val="33E8399D"/>
    <w:rsid w:val="33F00D0E"/>
    <w:rsid w:val="33F15215"/>
    <w:rsid w:val="3400694E"/>
    <w:rsid w:val="34015AC0"/>
    <w:rsid w:val="340200E4"/>
    <w:rsid w:val="34032E57"/>
    <w:rsid w:val="340622E0"/>
    <w:rsid w:val="340E1660"/>
    <w:rsid w:val="3416599D"/>
    <w:rsid w:val="341B76D7"/>
    <w:rsid w:val="342033A2"/>
    <w:rsid w:val="34235F50"/>
    <w:rsid w:val="342866FA"/>
    <w:rsid w:val="343131DB"/>
    <w:rsid w:val="343F1B02"/>
    <w:rsid w:val="343F1D80"/>
    <w:rsid w:val="34433779"/>
    <w:rsid w:val="34453A5A"/>
    <w:rsid w:val="34497ED3"/>
    <w:rsid w:val="344E45B1"/>
    <w:rsid w:val="34586FDF"/>
    <w:rsid w:val="345D1EA3"/>
    <w:rsid w:val="345D2974"/>
    <w:rsid w:val="34621C0C"/>
    <w:rsid w:val="346E0CB4"/>
    <w:rsid w:val="346E6803"/>
    <w:rsid w:val="34727975"/>
    <w:rsid w:val="34747D11"/>
    <w:rsid w:val="347E456C"/>
    <w:rsid w:val="347F27BE"/>
    <w:rsid w:val="348002E4"/>
    <w:rsid w:val="34822FAF"/>
    <w:rsid w:val="34845167"/>
    <w:rsid w:val="348F23A6"/>
    <w:rsid w:val="349858B3"/>
    <w:rsid w:val="349B19C5"/>
    <w:rsid w:val="34A246FE"/>
    <w:rsid w:val="34AB40F2"/>
    <w:rsid w:val="34B37205"/>
    <w:rsid w:val="34C06933"/>
    <w:rsid w:val="34C3033B"/>
    <w:rsid w:val="34C8266A"/>
    <w:rsid w:val="34CA460B"/>
    <w:rsid w:val="34CB79E3"/>
    <w:rsid w:val="34CC150C"/>
    <w:rsid w:val="34CC177B"/>
    <w:rsid w:val="34D16D92"/>
    <w:rsid w:val="34D77B72"/>
    <w:rsid w:val="34E22D4D"/>
    <w:rsid w:val="34EB1C02"/>
    <w:rsid w:val="34EF2FAB"/>
    <w:rsid w:val="34FA444E"/>
    <w:rsid w:val="34FC7C54"/>
    <w:rsid w:val="34FF38FF"/>
    <w:rsid w:val="35020CF9"/>
    <w:rsid w:val="35092088"/>
    <w:rsid w:val="351153E0"/>
    <w:rsid w:val="35131158"/>
    <w:rsid w:val="351452EB"/>
    <w:rsid w:val="35160430"/>
    <w:rsid w:val="352B46F4"/>
    <w:rsid w:val="35313EA6"/>
    <w:rsid w:val="35385E67"/>
    <w:rsid w:val="353D1D8D"/>
    <w:rsid w:val="353E4427"/>
    <w:rsid w:val="3541734D"/>
    <w:rsid w:val="35417A73"/>
    <w:rsid w:val="35441312"/>
    <w:rsid w:val="35446855"/>
    <w:rsid w:val="354D41C0"/>
    <w:rsid w:val="354E178B"/>
    <w:rsid w:val="35523A2F"/>
    <w:rsid w:val="35545E5C"/>
    <w:rsid w:val="35551771"/>
    <w:rsid w:val="35661288"/>
    <w:rsid w:val="356907F9"/>
    <w:rsid w:val="3572578D"/>
    <w:rsid w:val="357339A5"/>
    <w:rsid w:val="35761252"/>
    <w:rsid w:val="35793A13"/>
    <w:rsid w:val="357A136A"/>
    <w:rsid w:val="357F31E2"/>
    <w:rsid w:val="358532B8"/>
    <w:rsid w:val="35935DF5"/>
    <w:rsid w:val="359457EB"/>
    <w:rsid w:val="3599165E"/>
    <w:rsid w:val="359F479A"/>
    <w:rsid w:val="35A85D44"/>
    <w:rsid w:val="35B0680E"/>
    <w:rsid w:val="35BB5A78"/>
    <w:rsid w:val="35BD4872"/>
    <w:rsid w:val="35BE55AA"/>
    <w:rsid w:val="35BF4E3C"/>
    <w:rsid w:val="35C25B02"/>
    <w:rsid w:val="35C77E0B"/>
    <w:rsid w:val="35CA3D5D"/>
    <w:rsid w:val="35CE6E2D"/>
    <w:rsid w:val="35D24AF0"/>
    <w:rsid w:val="35D46B3A"/>
    <w:rsid w:val="35E14DB3"/>
    <w:rsid w:val="35F25212"/>
    <w:rsid w:val="35F72828"/>
    <w:rsid w:val="3600660F"/>
    <w:rsid w:val="36044383"/>
    <w:rsid w:val="36055D67"/>
    <w:rsid w:val="3609202D"/>
    <w:rsid w:val="360B188A"/>
    <w:rsid w:val="360C6D4B"/>
    <w:rsid w:val="362353CB"/>
    <w:rsid w:val="36392E40"/>
    <w:rsid w:val="3643781B"/>
    <w:rsid w:val="364D069A"/>
    <w:rsid w:val="364D29E7"/>
    <w:rsid w:val="364F61C0"/>
    <w:rsid w:val="365C1492"/>
    <w:rsid w:val="36641223"/>
    <w:rsid w:val="36667DB3"/>
    <w:rsid w:val="366B28CE"/>
    <w:rsid w:val="36796D76"/>
    <w:rsid w:val="368357E6"/>
    <w:rsid w:val="36983825"/>
    <w:rsid w:val="369B1405"/>
    <w:rsid w:val="36A346CC"/>
    <w:rsid w:val="36A37482"/>
    <w:rsid w:val="36AB4187"/>
    <w:rsid w:val="36B349A1"/>
    <w:rsid w:val="36B6548A"/>
    <w:rsid w:val="36C73FA8"/>
    <w:rsid w:val="36E52680"/>
    <w:rsid w:val="36E7289C"/>
    <w:rsid w:val="36E92171"/>
    <w:rsid w:val="36EF1705"/>
    <w:rsid w:val="37001B23"/>
    <w:rsid w:val="37021484"/>
    <w:rsid w:val="370451FC"/>
    <w:rsid w:val="37076A9B"/>
    <w:rsid w:val="37081B1F"/>
    <w:rsid w:val="371A76DC"/>
    <w:rsid w:val="372D23BC"/>
    <w:rsid w:val="372F73E9"/>
    <w:rsid w:val="37366260"/>
    <w:rsid w:val="373B4C58"/>
    <w:rsid w:val="373D4FB0"/>
    <w:rsid w:val="37427AD3"/>
    <w:rsid w:val="375311E6"/>
    <w:rsid w:val="37542597"/>
    <w:rsid w:val="375869AC"/>
    <w:rsid w:val="375D490D"/>
    <w:rsid w:val="376750EB"/>
    <w:rsid w:val="376B527C"/>
    <w:rsid w:val="37717558"/>
    <w:rsid w:val="37774A03"/>
    <w:rsid w:val="377C0BD1"/>
    <w:rsid w:val="377E00FA"/>
    <w:rsid w:val="37804B63"/>
    <w:rsid w:val="378D5C83"/>
    <w:rsid w:val="378F5FDC"/>
    <w:rsid w:val="379D6283"/>
    <w:rsid w:val="37A570FC"/>
    <w:rsid w:val="37A6272E"/>
    <w:rsid w:val="37AC319E"/>
    <w:rsid w:val="37B142EC"/>
    <w:rsid w:val="37B22F18"/>
    <w:rsid w:val="37BD53AB"/>
    <w:rsid w:val="37C1179A"/>
    <w:rsid w:val="37C207AF"/>
    <w:rsid w:val="37C64ED3"/>
    <w:rsid w:val="37D34394"/>
    <w:rsid w:val="37D349AD"/>
    <w:rsid w:val="37D96DF3"/>
    <w:rsid w:val="37DA41AF"/>
    <w:rsid w:val="37DC31A6"/>
    <w:rsid w:val="37E961A0"/>
    <w:rsid w:val="37EE6092"/>
    <w:rsid w:val="37F740EF"/>
    <w:rsid w:val="37F93BBC"/>
    <w:rsid w:val="37FD15FC"/>
    <w:rsid w:val="380373D8"/>
    <w:rsid w:val="381274A5"/>
    <w:rsid w:val="381F1BC2"/>
    <w:rsid w:val="38212944"/>
    <w:rsid w:val="38342C58"/>
    <w:rsid w:val="38363E4D"/>
    <w:rsid w:val="38393729"/>
    <w:rsid w:val="383B0A73"/>
    <w:rsid w:val="3843431D"/>
    <w:rsid w:val="384344D3"/>
    <w:rsid w:val="384653A1"/>
    <w:rsid w:val="384855BD"/>
    <w:rsid w:val="384D3F21"/>
    <w:rsid w:val="384E3EF5"/>
    <w:rsid w:val="3851465F"/>
    <w:rsid w:val="385201EA"/>
    <w:rsid w:val="38564E03"/>
    <w:rsid w:val="385803FC"/>
    <w:rsid w:val="385E093C"/>
    <w:rsid w:val="3863087D"/>
    <w:rsid w:val="38630EDA"/>
    <w:rsid w:val="386C3059"/>
    <w:rsid w:val="386F1DE6"/>
    <w:rsid w:val="38740160"/>
    <w:rsid w:val="38767A34"/>
    <w:rsid w:val="38805A26"/>
    <w:rsid w:val="38845005"/>
    <w:rsid w:val="388806D4"/>
    <w:rsid w:val="388916EC"/>
    <w:rsid w:val="38AA5930"/>
    <w:rsid w:val="38B8629F"/>
    <w:rsid w:val="38C21854"/>
    <w:rsid w:val="38C84008"/>
    <w:rsid w:val="38D17360"/>
    <w:rsid w:val="38D82334"/>
    <w:rsid w:val="38D872D1"/>
    <w:rsid w:val="38D96215"/>
    <w:rsid w:val="38E17F8E"/>
    <w:rsid w:val="38E3443A"/>
    <w:rsid w:val="38E71A62"/>
    <w:rsid w:val="38E72670"/>
    <w:rsid w:val="38EC7CF6"/>
    <w:rsid w:val="38EF6E52"/>
    <w:rsid w:val="38F26979"/>
    <w:rsid w:val="38F50127"/>
    <w:rsid w:val="38FB265D"/>
    <w:rsid w:val="38FC6146"/>
    <w:rsid w:val="3909291C"/>
    <w:rsid w:val="39110F7A"/>
    <w:rsid w:val="39282867"/>
    <w:rsid w:val="392D0DD9"/>
    <w:rsid w:val="39341A5C"/>
    <w:rsid w:val="393A4F06"/>
    <w:rsid w:val="394144E6"/>
    <w:rsid w:val="39474E0E"/>
    <w:rsid w:val="394F1F28"/>
    <w:rsid w:val="3954623F"/>
    <w:rsid w:val="39793059"/>
    <w:rsid w:val="39796E44"/>
    <w:rsid w:val="39796EE8"/>
    <w:rsid w:val="397A3554"/>
    <w:rsid w:val="397A71F3"/>
    <w:rsid w:val="397B647A"/>
    <w:rsid w:val="39831A2E"/>
    <w:rsid w:val="39864E3F"/>
    <w:rsid w:val="39924D42"/>
    <w:rsid w:val="39930ABA"/>
    <w:rsid w:val="399860D0"/>
    <w:rsid w:val="399F120C"/>
    <w:rsid w:val="39A84565"/>
    <w:rsid w:val="39A86313"/>
    <w:rsid w:val="39AE37F1"/>
    <w:rsid w:val="39B12E4E"/>
    <w:rsid w:val="39B34CB8"/>
    <w:rsid w:val="39B5389C"/>
    <w:rsid w:val="39B747A8"/>
    <w:rsid w:val="39B74FBF"/>
    <w:rsid w:val="39B8138C"/>
    <w:rsid w:val="39BF365D"/>
    <w:rsid w:val="39C649EB"/>
    <w:rsid w:val="39C90037"/>
    <w:rsid w:val="39CC723D"/>
    <w:rsid w:val="39D377B8"/>
    <w:rsid w:val="39E16087"/>
    <w:rsid w:val="39E20A04"/>
    <w:rsid w:val="39E9692C"/>
    <w:rsid w:val="39F74B01"/>
    <w:rsid w:val="3A004290"/>
    <w:rsid w:val="3A0151B3"/>
    <w:rsid w:val="3A0B68A2"/>
    <w:rsid w:val="3A151147"/>
    <w:rsid w:val="3A1A4D37"/>
    <w:rsid w:val="3A2011F8"/>
    <w:rsid w:val="3A210DC3"/>
    <w:rsid w:val="3A2A4F7A"/>
    <w:rsid w:val="3A372272"/>
    <w:rsid w:val="3A4943F7"/>
    <w:rsid w:val="3A4B2294"/>
    <w:rsid w:val="3A4C453A"/>
    <w:rsid w:val="3A4F2C33"/>
    <w:rsid w:val="3A546FAE"/>
    <w:rsid w:val="3A563D29"/>
    <w:rsid w:val="3A563FC1"/>
    <w:rsid w:val="3A6769F0"/>
    <w:rsid w:val="3A6D2C1F"/>
    <w:rsid w:val="3A765D28"/>
    <w:rsid w:val="3A7A1C5B"/>
    <w:rsid w:val="3A864E9D"/>
    <w:rsid w:val="3A922B1F"/>
    <w:rsid w:val="3AA24B4F"/>
    <w:rsid w:val="3AB37DF7"/>
    <w:rsid w:val="3AC03378"/>
    <w:rsid w:val="3AC32CD9"/>
    <w:rsid w:val="3ACE5F4F"/>
    <w:rsid w:val="3AD35612"/>
    <w:rsid w:val="3AD54B8C"/>
    <w:rsid w:val="3ADF64BD"/>
    <w:rsid w:val="3AE74049"/>
    <w:rsid w:val="3AED6C44"/>
    <w:rsid w:val="3AEE274E"/>
    <w:rsid w:val="3AF34BFC"/>
    <w:rsid w:val="3AFB6916"/>
    <w:rsid w:val="3B027CA5"/>
    <w:rsid w:val="3B051543"/>
    <w:rsid w:val="3B0E1866"/>
    <w:rsid w:val="3B0F4170"/>
    <w:rsid w:val="3B181276"/>
    <w:rsid w:val="3B1F1FE9"/>
    <w:rsid w:val="3B245E6D"/>
    <w:rsid w:val="3B252996"/>
    <w:rsid w:val="3B293484"/>
    <w:rsid w:val="3B2C6A9B"/>
    <w:rsid w:val="3B2D45F6"/>
    <w:rsid w:val="3B2F43B1"/>
    <w:rsid w:val="3B33745E"/>
    <w:rsid w:val="3B3D2A8B"/>
    <w:rsid w:val="3B3F4A55"/>
    <w:rsid w:val="3B441E6F"/>
    <w:rsid w:val="3B547DD5"/>
    <w:rsid w:val="3B561D9F"/>
    <w:rsid w:val="3B5A6064"/>
    <w:rsid w:val="3B5D4EDB"/>
    <w:rsid w:val="3B5D627E"/>
    <w:rsid w:val="3B5F50F7"/>
    <w:rsid w:val="3B5F6EA5"/>
    <w:rsid w:val="3B7420E9"/>
    <w:rsid w:val="3B7B35B3"/>
    <w:rsid w:val="3B7B7381"/>
    <w:rsid w:val="3B84703E"/>
    <w:rsid w:val="3B8B1A48"/>
    <w:rsid w:val="3B9207F8"/>
    <w:rsid w:val="3B9A1C8B"/>
    <w:rsid w:val="3B9D25DA"/>
    <w:rsid w:val="3B9D352A"/>
    <w:rsid w:val="3B9E5839"/>
    <w:rsid w:val="3B9E7350"/>
    <w:rsid w:val="3B9F0C83"/>
    <w:rsid w:val="3BA945C4"/>
    <w:rsid w:val="3BAE3989"/>
    <w:rsid w:val="3BB70A8F"/>
    <w:rsid w:val="3BB84807"/>
    <w:rsid w:val="3BC60B26"/>
    <w:rsid w:val="3BC74A4B"/>
    <w:rsid w:val="3BCC2061"/>
    <w:rsid w:val="3BE178BA"/>
    <w:rsid w:val="3BE51A3D"/>
    <w:rsid w:val="3BEE1FD7"/>
    <w:rsid w:val="3BF82E81"/>
    <w:rsid w:val="3BFA097C"/>
    <w:rsid w:val="3BFA4E20"/>
    <w:rsid w:val="3BFD046C"/>
    <w:rsid w:val="3BFD221A"/>
    <w:rsid w:val="3C0A2E24"/>
    <w:rsid w:val="3C0B2B89"/>
    <w:rsid w:val="3C1423E3"/>
    <w:rsid w:val="3C1F04D1"/>
    <w:rsid w:val="3C2D4BF2"/>
    <w:rsid w:val="3C306D0A"/>
    <w:rsid w:val="3C385526"/>
    <w:rsid w:val="3C3B6C85"/>
    <w:rsid w:val="3C3C2D43"/>
    <w:rsid w:val="3C420A5F"/>
    <w:rsid w:val="3C54269E"/>
    <w:rsid w:val="3C583A32"/>
    <w:rsid w:val="3C5A766D"/>
    <w:rsid w:val="3C5B3901"/>
    <w:rsid w:val="3C60637A"/>
    <w:rsid w:val="3C74009D"/>
    <w:rsid w:val="3C78522A"/>
    <w:rsid w:val="3C820615"/>
    <w:rsid w:val="3C8446EA"/>
    <w:rsid w:val="3C8B42AF"/>
    <w:rsid w:val="3C8D17F0"/>
    <w:rsid w:val="3C9012E0"/>
    <w:rsid w:val="3C920BB5"/>
    <w:rsid w:val="3C925059"/>
    <w:rsid w:val="3C9543BC"/>
    <w:rsid w:val="3C9648B8"/>
    <w:rsid w:val="3C9B2E7A"/>
    <w:rsid w:val="3C9C732B"/>
    <w:rsid w:val="3CA1066A"/>
    <w:rsid w:val="3CA1704A"/>
    <w:rsid w:val="3CAF480F"/>
    <w:rsid w:val="3CB03193"/>
    <w:rsid w:val="3CB1566E"/>
    <w:rsid w:val="3CB44FCF"/>
    <w:rsid w:val="3CB971A9"/>
    <w:rsid w:val="3CBA5DA4"/>
    <w:rsid w:val="3CBD7139"/>
    <w:rsid w:val="3CBF1A5E"/>
    <w:rsid w:val="3CC24D05"/>
    <w:rsid w:val="3CC43F06"/>
    <w:rsid w:val="3CC97778"/>
    <w:rsid w:val="3CC978DE"/>
    <w:rsid w:val="3CCC7B89"/>
    <w:rsid w:val="3CCF005B"/>
    <w:rsid w:val="3CD45671"/>
    <w:rsid w:val="3CE67417"/>
    <w:rsid w:val="3CEA4A31"/>
    <w:rsid w:val="3CEB46DA"/>
    <w:rsid w:val="3CF22B26"/>
    <w:rsid w:val="3CF274BE"/>
    <w:rsid w:val="3CF61143"/>
    <w:rsid w:val="3CF64CC4"/>
    <w:rsid w:val="3D016E4C"/>
    <w:rsid w:val="3D071835"/>
    <w:rsid w:val="3D085D3D"/>
    <w:rsid w:val="3D0E147E"/>
    <w:rsid w:val="3D10390E"/>
    <w:rsid w:val="3D121CF5"/>
    <w:rsid w:val="3D1F03E8"/>
    <w:rsid w:val="3D247871"/>
    <w:rsid w:val="3D3543BA"/>
    <w:rsid w:val="3D3E3E6E"/>
    <w:rsid w:val="3D483969"/>
    <w:rsid w:val="3D4F03CB"/>
    <w:rsid w:val="3D510A70"/>
    <w:rsid w:val="3D532A3A"/>
    <w:rsid w:val="3D5B369C"/>
    <w:rsid w:val="3D5E4F3B"/>
    <w:rsid w:val="3D606F05"/>
    <w:rsid w:val="3D632242"/>
    <w:rsid w:val="3D6F736D"/>
    <w:rsid w:val="3D7604D6"/>
    <w:rsid w:val="3D7B1BCA"/>
    <w:rsid w:val="3D7B5DBA"/>
    <w:rsid w:val="3D8C7653"/>
    <w:rsid w:val="3D931088"/>
    <w:rsid w:val="3D995296"/>
    <w:rsid w:val="3D9D5A63"/>
    <w:rsid w:val="3DA212CB"/>
    <w:rsid w:val="3DA45043"/>
    <w:rsid w:val="3DA52B6A"/>
    <w:rsid w:val="3DA55B0F"/>
    <w:rsid w:val="3DAA63FD"/>
    <w:rsid w:val="3DB612A6"/>
    <w:rsid w:val="3DB66B25"/>
    <w:rsid w:val="3DB741AC"/>
    <w:rsid w:val="3DBC648B"/>
    <w:rsid w:val="3DC36638"/>
    <w:rsid w:val="3DC94AAA"/>
    <w:rsid w:val="3DCD6D05"/>
    <w:rsid w:val="3DD10CA2"/>
    <w:rsid w:val="3DE43692"/>
    <w:rsid w:val="3DE47AA7"/>
    <w:rsid w:val="3DE579B9"/>
    <w:rsid w:val="3DE738E0"/>
    <w:rsid w:val="3DF32DF4"/>
    <w:rsid w:val="3E067AAC"/>
    <w:rsid w:val="3E0C3B6F"/>
    <w:rsid w:val="3E0E5C19"/>
    <w:rsid w:val="3E175815"/>
    <w:rsid w:val="3E1F46CA"/>
    <w:rsid w:val="3E2137CE"/>
    <w:rsid w:val="3E2E656A"/>
    <w:rsid w:val="3E3A7756"/>
    <w:rsid w:val="3E434338"/>
    <w:rsid w:val="3E457EAB"/>
    <w:rsid w:val="3E4660FB"/>
    <w:rsid w:val="3E502819"/>
    <w:rsid w:val="3E502AD5"/>
    <w:rsid w:val="3E5321C4"/>
    <w:rsid w:val="3E5433F2"/>
    <w:rsid w:val="3E555A1F"/>
    <w:rsid w:val="3E555D5A"/>
    <w:rsid w:val="3E592E85"/>
    <w:rsid w:val="3E676AF4"/>
    <w:rsid w:val="3E815973"/>
    <w:rsid w:val="3E846C23"/>
    <w:rsid w:val="3E9C1167"/>
    <w:rsid w:val="3E9C3F6D"/>
    <w:rsid w:val="3EA01CAF"/>
    <w:rsid w:val="3EA177D5"/>
    <w:rsid w:val="3EB07A18"/>
    <w:rsid w:val="3EB2553E"/>
    <w:rsid w:val="3EB412B6"/>
    <w:rsid w:val="3EBA0F0D"/>
    <w:rsid w:val="3EBB0D47"/>
    <w:rsid w:val="3EC534C3"/>
    <w:rsid w:val="3EC614BA"/>
    <w:rsid w:val="3EC70566"/>
    <w:rsid w:val="3EC9608A"/>
    <w:rsid w:val="3EC96D78"/>
    <w:rsid w:val="3ECD7022"/>
    <w:rsid w:val="3EDC080D"/>
    <w:rsid w:val="3EDF4F0B"/>
    <w:rsid w:val="3EE7052F"/>
    <w:rsid w:val="3EED23C9"/>
    <w:rsid w:val="3EED642A"/>
    <w:rsid w:val="3EF913BF"/>
    <w:rsid w:val="3EFB5137"/>
    <w:rsid w:val="3F042A00"/>
    <w:rsid w:val="3F0D38A6"/>
    <w:rsid w:val="3F0E43A7"/>
    <w:rsid w:val="3F125FDD"/>
    <w:rsid w:val="3F166BA5"/>
    <w:rsid w:val="3F20694C"/>
    <w:rsid w:val="3F2226C4"/>
    <w:rsid w:val="3F293625"/>
    <w:rsid w:val="3F316DAB"/>
    <w:rsid w:val="3F3348D1"/>
    <w:rsid w:val="3F3E016D"/>
    <w:rsid w:val="3F421BBA"/>
    <w:rsid w:val="3F487C50"/>
    <w:rsid w:val="3F4C2484"/>
    <w:rsid w:val="3F4C5993"/>
    <w:rsid w:val="3F4E170B"/>
    <w:rsid w:val="3F514D57"/>
    <w:rsid w:val="3F572A8A"/>
    <w:rsid w:val="3F615C3B"/>
    <w:rsid w:val="3F6A7749"/>
    <w:rsid w:val="3F713F31"/>
    <w:rsid w:val="3F7D78FA"/>
    <w:rsid w:val="3F8036A9"/>
    <w:rsid w:val="3F852E37"/>
    <w:rsid w:val="3F885D5A"/>
    <w:rsid w:val="3F8A5101"/>
    <w:rsid w:val="3F8B1F0F"/>
    <w:rsid w:val="3F8E7D59"/>
    <w:rsid w:val="3F982986"/>
    <w:rsid w:val="3F9A693D"/>
    <w:rsid w:val="3F9B2476"/>
    <w:rsid w:val="3FA10F6F"/>
    <w:rsid w:val="3FA506D2"/>
    <w:rsid w:val="3FAC4FC0"/>
    <w:rsid w:val="3FBA59B9"/>
    <w:rsid w:val="3FBB48C6"/>
    <w:rsid w:val="3FD1168E"/>
    <w:rsid w:val="3FD372A9"/>
    <w:rsid w:val="3FE15D79"/>
    <w:rsid w:val="3FE37B0A"/>
    <w:rsid w:val="3FE45BCB"/>
    <w:rsid w:val="3FE47979"/>
    <w:rsid w:val="3FE625BE"/>
    <w:rsid w:val="3FE941CD"/>
    <w:rsid w:val="3FFB3F5F"/>
    <w:rsid w:val="40030F73"/>
    <w:rsid w:val="400A3D6D"/>
    <w:rsid w:val="400E430F"/>
    <w:rsid w:val="401132F0"/>
    <w:rsid w:val="401444C9"/>
    <w:rsid w:val="40204729"/>
    <w:rsid w:val="402544C5"/>
    <w:rsid w:val="402A434E"/>
    <w:rsid w:val="4033445D"/>
    <w:rsid w:val="40355211"/>
    <w:rsid w:val="40363315"/>
    <w:rsid w:val="403F1053"/>
    <w:rsid w:val="40473D02"/>
    <w:rsid w:val="40495772"/>
    <w:rsid w:val="404C3770"/>
    <w:rsid w:val="40533F4D"/>
    <w:rsid w:val="406145A2"/>
    <w:rsid w:val="40622068"/>
    <w:rsid w:val="40641FB2"/>
    <w:rsid w:val="406559DB"/>
    <w:rsid w:val="406F63E5"/>
    <w:rsid w:val="40714F85"/>
    <w:rsid w:val="40724A92"/>
    <w:rsid w:val="40752CC7"/>
    <w:rsid w:val="407C4056"/>
    <w:rsid w:val="407D4204"/>
    <w:rsid w:val="407E7DCE"/>
    <w:rsid w:val="40844CB8"/>
    <w:rsid w:val="40907C49"/>
    <w:rsid w:val="40912029"/>
    <w:rsid w:val="40972FEC"/>
    <w:rsid w:val="40996EF0"/>
    <w:rsid w:val="409A272E"/>
    <w:rsid w:val="40A1071E"/>
    <w:rsid w:val="40A35673"/>
    <w:rsid w:val="40A37834"/>
    <w:rsid w:val="40A43B7C"/>
    <w:rsid w:val="40A46969"/>
    <w:rsid w:val="40A50B16"/>
    <w:rsid w:val="40A80425"/>
    <w:rsid w:val="40AE5143"/>
    <w:rsid w:val="40B626B5"/>
    <w:rsid w:val="40B9747A"/>
    <w:rsid w:val="40C93A5A"/>
    <w:rsid w:val="40DB2C34"/>
    <w:rsid w:val="40E95ECD"/>
    <w:rsid w:val="40F55BB6"/>
    <w:rsid w:val="40FE4377"/>
    <w:rsid w:val="40FF2AF3"/>
    <w:rsid w:val="4101455B"/>
    <w:rsid w:val="410857A9"/>
    <w:rsid w:val="411423ED"/>
    <w:rsid w:val="41160006"/>
    <w:rsid w:val="41184215"/>
    <w:rsid w:val="4122408C"/>
    <w:rsid w:val="412D262C"/>
    <w:rsid w:val="41302DB4"/>
    <w:rsid w:val="41314E40"/>
    <w:rsid w:val="41391DE7"/>
    <w:rsid w:val="413C3FE6"/>
    <w:rsid w:val="413D1A37"/>
    <w:rsid w:val="41433130"/>
    <w:rsid w:val="414B0CA0"/>
    <w:rsid w:val="41510E1F"/>
    <w:rsid w:val="41596145"/>
    <w:rsid w:val="415D3E87"/>
    <w:rsid w:val="41614FF9"/>
    <w:rsid w:val="41730194"/>
    <w:rsid w:val="417646B6"/>
    <w:rsid w:val="41801923"/>
    <w:rsid w:val="41872CB2"/>
    <w:rsid w:val="418765FD"/>
    <w:rsid w:val="418D17F8"/>
    <w:rsid w:val="418E626E"/>
    <w:rsid w:val="419132FD"/>
    <w:rsid w:val="41914E6B"/>
    <w:rsid w:val="41963142"/>
    <w:rsid w:val="41A17A30"/>
    <w:rsid w:val="41A2189A"/>
    <w:rsid w:val="41A73277"/>
    <w:rsid w:val="41AC5B50"/>
    <w:rsid w:val="41AE040C"/>
    <w:rsid w:val="41B17D2F"/>
    <w:rsid w:val="41B35DF7"/>
    <w:rsid w:val="41BF7900"/>
    <w:rsid w:val="41C504FE"/>
    <w:rsid w:val="41C51F3F"/>
    <w:rsid w:val="41CA0DF1"/>
    <w:rsid w:val="41D46648"/>
    <w:rsid w:val="41E52F01"/>
    <w:rsid w:val="41EA4FEF"/>
    <w:rsid w:val="41EF441A"/>
    <w:rsid w:val="41F35E84"/>
    <w:rsid w:val="41F53261"/>
    <w:rsid w:val="41FF0A9A"/>
    <w:rsid w:val="42027077"/>
    <w:rsid w:val="42045B77"/>
    <w:rsid w:val="42053CF4"/>
    <w:rsid w:val="42065888"/>
    <w:rsid w:val="4208327E"/>
    <w:rsid w:val="4215569D"/>
    <w:rsid w:val="42155A74"/>
    <w:rsid w:val="42167DEC"/>
    <w:rsid w:val="421A1D78"/>
    <w:rsid w:val="42240501"/>
    <w:rsid w:val="422E60BA"/>
    <w:rsid w:val="423532E3"/>
    <w:rsid w:val="423E371E"/>
    <w:rsid w:val="424418D5"/>
    <w:rsid w:val="42464D89"/>
    <w:rsid w:val="424B0183"/>
    <w:rsid w:val="42515CDB"/>
    <w:rsid w:val="42526CA7"/>
    <w:rsid w:val="425C3444"/>
    <w:rsid w:val="425F59DD"/>
    <w:rsid w:val="42604346"/>
    <w:rsid w:val="42672AE3"/>
    <w:rsid w:val="4269060A"/>
    <w:rsid w:val="42703746"/>
    <w:rsid w:val="427447C8"/>
    <w:rsid w:val="42745B56"/>
    <w:rsid w:val="42751C84"/>
    <w:rsid w:val="42772D26"/>
    <w:rsid w:val="42784CF1"/>
    <w:rsid w:val="427A3F6E"/>
    <w:rsid w:val="427C033D"/>
    <w:rsid w:val="42817188"/>
    <w:rsid w:val="42850469"/>
    <w:rsid w:val="42876CE2"/>
    <w:rsid w:val="428A031F"/>
    <w:rsid w:val="429615BF"/>
    <w:rsid w:val="42A37545"/>
    <w:rsid w:val="42AA7658"/>
    <w:rsid w:val="42AD2C5B"/>
    <w:rsid w:val="42AD6748"/>
    <w:rsid w:val="42AF358B"/>
    <w:rsid w:val="42B14759"/>
    <w:rsid w:val="42B825F6"/>
    <w:rsid w:val="42BB76B8"/>
    <w:rsid w:val="42C46D8E"/>
    <w:rsid w:val="42CE66BF"/>
    <w:rsid w:val="42D9753D"/>
    <w:rsid w:val="42DE5B37"/>
    <w:rsid w:val="42E54E77"/>
    <w:rsid w:val="42E64AEA"/>
    <w:rsid w:val="42EB4D88"/>
    <w:rsid w:val="42F205FF"/>
    <w:rsid w:val="42FF2D1C"/>
    <w:rsid w:val="43036D53"/>
    <w:rsid w:val="43091EF9"/>
    <w:rsid w:val="43166F6F"/>
    <w:rsid w:val="431C101B"/>
    <w:rsid w:val="431C742A"/>
    <w:rsid w:val="4326474D"/>
    <w:rsid w:val="43321490"/>
    <w:rsid w:val="433B6058"/>
    <w:rsid w:val="4345750A"/>
    <w:rsid w:val="43487CF9"/>
    <w:rsid w:val="434C14BE"/>
    <w:rsid w:val="434D3A87"/>
    <w:rsid w:val="43535948"/>
    <w:rsid w:val="43555D38"/>
    <w:rsid w:val="435B43F6"/>
    <w:rsid w:val="437234EE"/>
    <w:rsid w:val="43741123"/>
    <w:rsid w:val="43784E91"/>
    <w:rsid w:val="4378743C"/>
    <w:rsid w:val="438056AF"/>
    <w:rsid w:val="43835ADD"/>
    <w:rsid w:val="4392593E"/>
    <w:rsid w:val="439873F8"/>
    <w:rsid w:val="43A44F14"/>
    <w:rsid w:val="43A51B15"/>
    <w:rsid w:val="43A601E4"/>
    <w:rsid w:val="43A95F52"/>
    <w:rsid w:val="43AA0A54"/>
    <w:rsid w:val="43AC7295"/>
    <w:rsid w:val="43AD21B8"/>
    <w:rsid w:val="43AE7DCC"/>
    <w:rsid w:val="43B6162D"/>
    <w:rsid w:val="43B92ECB"/>
    <w:rsid w:val="43C87D93"/>
    <w:rsid w:val="43D9356D"/>
    <w:rsid w:val="43DC76BA"/>
    <w:rsid w:val="43DE6549"/>
    <w:rsid w:val="43E17B20"/>
    <w:rsid w:val="43E61D35"/>
    <w:rsid w:val="43E86C83"/>
    <w:rsid w:val="44000D6F"/>
    <w:rsid w:val="440353F3"/>
    <w:rsid w:val="44114AB5"/>
    <w:rsid w:val="441A7E0D"/>
    <w:rsid w:val="4427077C"/>
    <w:rsid w:val="44332C7D"/>
    <w:rsid w:val="4436276D"/>
    <w:rsid w:val="443D1D4E"/>
    <w:rsid w:val="443D66D1"/>
    <w:rsid w:val="443F6EFC"/>
    <w:rsid w:val="44421DE7"/>
    <w:rsid w:val="44431826"/>
    <w:rsid w:val="444B446B"/>
    <w:rsid w:val="444C0EDB"/>
    <w:rsid w:val="44520858"/>
    <w:rsid w:val="4465276D"/>
    <w:rsid w:val="44687670"/>
    <w:rsid w:val="4469669F"/>
    <w:rsid w:val="446B0669"/>
    <w:rsid w:val="446C2647"/>
    <w:rsid w:val="44702DCA"/>
    <w:rsid w:val="447A2B02"/>
    <w:rsid w:val="4497458E"/>
    <w:rsid w:val="449B0822"/>
    <w:rsid w:val="44A1052F"/>
    <w:rsid w:val="44A53BD2"/>
    <w:rsid w:val="44A91191"/>
    <w:rsid w:val="44AB2D68"/>
    <w:rsid w:val="44AF042F"/>
    <w:rsid w:val="44B02520"/>
    <w:rsid w:val="44B30262"/>
    <w:rsid w:val="44BB145F"/>
    <w:rsid w:val="44BC0EC5"/>
    <w:rsid w:val="44C63AF1"/>
    <w:rsid w:val="44D02BC2"/>
    <w:rsid w:val="44D16ED5"/>
    <w:rsid w:val="44D70F06"/>
    <w:rsid w:val="44DE22C0"/>
    <w:rsid w:val="44E123BB"/>
    <w:rsid w:val="44E410B2"/>
    <w:rsid w:val="44E70248"/>
    <w:rsid w:val="44E8716A"/>
    <w:rsid w:val="44F85238"/>
    <w:rsid w:val="44FF0DB1"/>
    <w:rsid w:val="44FF5255"/>
    <w:rsid w:val="45007B43"/>
    <w:rsid w:val="450130A0"/>
    <w:rsid w:val="45085EB8"/>
    <w:rsid w:val="450A72EE"/>
    <w:rsid w:val="450D0C83"/>
    <w:rsid w:val="450D5FA7"/>
    <w:rsid w:val="45107462"/>
    <w:rsid w:val="45260A34"/>
    <w:rsid w:val="45301499"/>
    <w:rsid w:val="45374716"/>
    <w:rsid w:val="453A6EB4"/>
    <w:rsid w:val="453B027E"/>
    <w:rsid w:val="453E7B2C"/>
    <w:rsid w:val="454A296A"/>
    <w:rsid w:val="454A5F61"/>
    <w:rsid w:val="45565D0F"/>
    <w:rsid w:val="4557299B"/>
    <w:rsid w:val="455A4527"/>
    <w:rsid w:val="455F62B6"/>
    <w:rsid w:val="456A0341"/>
    <w:rsid w:val="456D21BF"/>
    <w:rsid w:val="456D319A"/>
    <w:rsid w:val="45722673"/>
    <w:rsid w:val="45763E75"/>
    <w:rsid w:val="457B5F12"/>
    <w:rsid w:val="457C4AF8"/>
    <w:rsid w:val="457D39EC"/>
    <w:rsid w:val="458614D2"/>
    <w:rsid w:val="45876384"/>
    <w:rsid w:val="458C4D3B"/>
    <w:rsid w:val="4594599D"/>
    <w:rsid w:val="459E681C"/>
    <w:rsid w:val="45AC0F39"/>
    <w:rsid w:val="45B925DE"/>
    <w:rsid w:val="45C06775"/>
    <w:rsid w:val="45C75D73"/>
    <w:rsid w:val="45C844FD"/>
    <w:rsid w:val="45D073D5"/>
    <w:rsid w:val="45D11A50"/>
    <w:rsid w:val="45D306A5"/>
    <w:rsid w:val="45D47FDD"/>
    <w:rsid w:val="45F87913"/>
    <w:rsid w:val="45FE4A6C"/>
    <w:rsid w:val="45FE550D"/>
    <w:rsid w:val="45FE72BB"/>
    <w:rsid w:val="46020B59"/>
    <w:rsid w:val="4605689B"/>
    <w:rsid w:val="460C58F7"/>
    <w:rsid w:val="460C5E7C"/>
    <w:rsid w:val="461154D7"/>
    <w:rsid w:val="461766E5"/>
    <w:rsid w:val="461C04A5"/>
    <w:rsid w:val="461F0C80"/>
    <w:rsid w:val="46222FA9"/>
    <w:rsid w:val="462243A0"/>
    <w:rsid w:val="46243D08"/>
    <w:rsid w:val="462B6F7C"/>
    <w:rsid w:val="462D3A90"/>
    <w:rsid w:val="46396D07"/>
    <w:rsid w:val="463B050F"/>
    <w:rsid w:val="465C2919"/>
    <w:rsid w:val="465D0485"/>
    <w:rsid w:val="466604C8"/>
    <w:rsid w:val="466F7801"/>
    <w:rsid w:val="46743C57"/>
    <w:rsid w:val="468A6DA0"/>
    <w:rsid w:val="469320F9"/>
    <w:rsid w:val="4693374F"/>
    <w:rsid w:val="469D1A07"/>
    <w:rsid w:val="469E2C2D"/>
    <w:rsid w:val="46A11D15"/>
    <w:rsid w:val="46B342CB"/>
    <w:rsid w:val="46BC2D86"/>
    <w:rsid w:val="46BF2877"/>
    <w:rsid w:val="46C06412"/>
    <w:rsid w:val="46C35341"/>
    <w:rsid w:val="46CD2A86"/>
    <w:rsid w:val="46D5763C"/>
    <w:rsid w:val="46D63C12"/>
    <w:rsid w:val="46E279C3"/>
    <w:rsid w:val="46EB79A2"/>
    <w:rsid w:val="46F078F8"/>
    <w:rsid w:val="46F25F9B"/>
    <w:rsid w:val="46F53A99"/>
    <w:rsid w:val="47017063"/>
    <w:rsid w:val="4707083F"/>
    <w:rsid w:val="470B74DB"/>
    <w:rsid w:val="471274C2"/>
    <w:rsid w:val="4718206C"/>
    <w:rsid w:val="473A07C7"/>
    <w:rsid w:val="47413903"/>
    <w:rsid w:val="47476CFD"/>
    <w:rsid w:val="474F0851"/>
    <w:rsid w:val="47502D63"/>
    <w:rsid w:val="475E44B5"/>
    <w:rsid w:val="4760218C"/>
    <w:rsid w:val="4760647F"/>
    <w:rsid w:val="4767205C"/>
    <w:rsid w:val="477932D0"/>
    <w:rsid w:val="477D3149"/>
    <w:rsid w:val="477D49F3"/>
    <w:rsid w:val="477E6905"/>
    <w:rsid w:val="477F170E"/>
    <w:rsid w:val="4782097B"/>
    <w:rsid w:val="47833F1C"/>
    <w:rsid w:val="478A52AA"/>
    <w:rsid w:val="478E1CFE"/>
    <w:rsid w:val="478F6C0D"/>
    <w:rsid w:val="479072BC"/>
    <w:rsid w:val="47937D28"/>
    <w:rsid w:val="47A65E5C"/>
    <w:rsid w:val="47A76130"/>
    <w:rsid w:val="47B24801"/>
    <w:rsid w:val="47B50AF6"/>
    <w:rsid w:val="47BB1907"/>
    <w:rsid w:val="47BC12C6"/>
    <w:rsid w:val="47C167F2"/>
    <w:rsid w:val="47C17032"/>
    <w:rsid w:val="47C307BC"/>
    <w:rsid w:val="47D026D7"/>
    <w:rsid w:val="47D06A35"/>
    <w:rsid w:val="47E0136E"/>
    <w:rsid w:val="47E04D2A"/>
    <w:rsid w:val="47EF458F"/>
    <w:rsid w:val="47F36533"/>
    <w:rsid w:val="47F46BC7"/>
    <w:rsid w:val="47F72214"/>
    <w:rsid w:val="47FB7016"/>
    <w:rsid w:val="480A0199"/>
    <w:rsid w:val="482079BC"/>
    <w:rsid w:val="48286360"/>
    <w:rsid w:val="483B47F6"/>
    <w:rsid w:val="4846108C"/>
    <w:rsid w:val="484A5AF5"/>
    <w:rsid w:val="484B76AE"/>
    <w:rsid w:val="484C40E6"/>
    <w:rsid w:val="485B594C"/>
    <w:rsid w:val="48663AF2"/>
    <w:rsid w:val="48677399"/>
    <w:rsid w:val="48691363"/>
    <w:rsid w:val="48734FEB"/>
    <w:rsid w:val="4879370E"/>
    <w:rsid w:val="487B09E1"/>
    <w:rsid w:val="487D096B"/>
    <w:rsid w:val="487D501E"/>
    <w:rsid w:val="487D70C8"/>
    <w:rsid w:val="4880045B"/>
    <w:rsid w:val="48804725"/>
    <w:rsid w:val="48804821"/>
    <w:rsid w:val="488E2B78"/>
    <w:rsid w:val="48934632"/>
    <w:rsid w:val="489F0CF8"/>
    <w:rsid w:val="489F2A58"/>
    <w:rsid w:val="48A24E53"/>
    <w:rsid w:val="48A405ED"/>
    <w:rsid w:val="48A46610"/>
    <w:rsid w:val="48A57EC2"/>
    <w:rsid w:val="48B56E93"/>
    <w:rsid w:val="48B60321"/>
    <w:rsid w:val="48B65C95"/>
    <w:rsid w:val="48B8660C"/>
    <w:rsid w:val="48C12F4D"/>
    <w:rsid w:val="48C5794B"/>
    <w:rsid w:val="48C83DDB"/>
    <w:rsid w:val="48C9234E"/>
    <w:rsid w:val="48CB0D15"/>
    <w:rsid w:val="48CE11C6"/>
    <w:rsid w:val="48CE566A"/>
    <w:rsid w:val="48D103D6"/>
    <w:rsid w:val="48DD765B"/>
    <w:rsid w:val="48DE3585"/>
    <w:rsid w:val="48E30C5A"/>
    <w:rsid w:val="48E734A7"/>
    <w:rsid w:val="48EA70F6"/>
    <w:rsid w:val="48F14EB5"/>
    <w:rsid w:val="48F21359"/>
    <w:rsid w:val="48F30C2D"/>
    <w:rsid w:val="48F3103E"/>
    <w:rsid w:val="48FA52A6"/>
    <w:rsid w:val="48FA7E0A"/>
    <w:rsid w:val="49051B67"/>
    <w:rsid w:val="490868D4"/>
    <w:rsid w:val="4911788D"/>
    <w:rsid w:val="491A265E"/>
    <w:rsid w:val="491D0A74"/>
    <w:rsid w:val="491E65BB"/>
    <w:rsid w:val="491F7C74"/>
    <w:rsid w:val="492656FF"/>
    <w:rsid w:val="49373210"/>
    <w:rsid w:val="4942167C"/>
    <w:rsid w:val="494E0559"/>
    <w:rsid w:val="4950607F"/>
    <w:rsid w:val="49634005"/>
    <w:rsid w:val="496E5053"/>
    <w:rsid w:val="49725FF6"/>
    <w:rsid w:val="49741105"/>
    <w:rsid w:val="49795384"/>
    <w:rsid w:val="49831FB1"/>
    <w:rsid w:val="498C162D"/>
    <w:rsid w:val="499C1C19"/>
    <w:rsid w:val="499D5F23"/>
    <w:rsid w:val="499E7A09"/>
    <w:rsid w:val="49A801A4"/>
    <w:rsid w:val="49B50B72"/>
    <w:rsid w:val="49B75B84"/>
    <w:rsid w:val="49C059EE"/>
    <w:rsid w:val="49C2183A"/>
    <w:rsid w:val="49DA2A6A"/>
    <w:rsid w:val="49DB2C58"/>
    <w:rsid w:val="49DB7ACF"/>
    <w:rsid w:val="49DE7B2F"/>
    <w:rsid w:val="49E55BA7"/>
    <w:rsid w:val="49ED7F9F"/>
    <w:rsid w:val="49F04DE4"/>
    <w:rsid w:val="49F73C6B"/>
    <w:rsid w:val="49F92273"/>
    <w:rsid w:val="49FA5FEB"/>
    <w:rsid w:val="49FE718A"/>
    <w:rsid w:val="4A050C18"/>
    <w:rsid w:val="4A0B7CB1"/>
    <w:rsid w:val="4A0E2295"/>
    <w:rsid w:val="4A142B5A"/>
    <w:rsid w:val="4A2319E6"/>
    <w:rsid w:val="4A284771"/>
    <w:rsid w:val="4A2A2D74"/>
    <w:rsid w:val="4A2C4E67"/>
    <w:rsid w:val="4A325FCD"/>
    <w:rsid w:val="4A331C29"/>
    <w:rsid w:val="4A356204"/>
    <w:rsid w:val="4A36600B"/>
    <w:rsid w:val="4A375D91"/>
    <w:rsid w:val="4A415867"/>
    <w:rsid w:val="4A435BE4"/>
    <w:rsid w:val="4A4831FA"/>
    <w:rsid w:val="4A4A27FE"/>
    <w:rsid w:val="4A4D2A1D"/>
    <w:rsid w:val="4A4E36F0"/>
    <w:rsid w:val="4A5D5169"/>
    <w:rsid w:val="4A67141E"/>
    <w:rsid w:val="4A796F68"/>
    <w:rsid w:val="4A9479EA"/>
    <w:rsid w:val="4A995804"/>
    <w:rsid w:val="4AA362C0"/>
    <w:rsid w:val="4AAC6F15"/>
    <w:rsid w:val="4AB443EC"/>
    <w:rsid w:val="4ABC3CDE"/>
    <w:rsid w:val="4AC043A1"/>
    <w:rsid w:val="4AC76815"/>
    <w:rsid w:val="4ACE1952"/>
    <w:rsid w:val="4AD62C77"/>
    <w:rsid w:val="4AD8457E"/>
    <w:rsid w:val="4ADA20A4"/>
    <w:rsid w:val="4ADB5E1D"/>
    <w:rsid w:val="4ADC01F8"/>
    <w:rsid w:val="4AE3143A"/>
    <w:rsid w:val="4AE92146"/>
    <w:rsid w:val="4AEC5E67"/>
    <w:rsid w:val="4AFE3E0E"/>
    <w:rsid w:val="4B023AD6"/>
    <w:rsid w:val="4B0A392D"/>
    <w:rsid w:val="4B0E181B"/>
    <w:rsid w:val="4B166E55"/>
    <w:rsid w:val="4B1D01E3"/>
    <w:rsid w:val="4B220E21"/>
    <w:rsid w:val="4B241572"/>
    <w:rsid w:val="4B2772B4"/>
    <w:rsid w:val="4B2807A5"/>
    <w:rsid w:val="4B286549"/>
    <w:rsid w:val="4B3317B5"/>
    <w:rsid w:val="4B352B6F"/>
    <w:rsid w:val="4B3A0D95"/>
    <w:rsid w:val="4B3C5B8D"/>
    <w:rsid w:val="4B3F45FD"/>
    <w:rsid w:val="4B3F63AB"/>
    <w:rsid w:val="4B427C4A"/>
    <w:rsid w:val="4B4420DB"/>
    <w:rsid w:val="4B4439C2"/>
    <w:rsid w:val="4B5158B7"/>
    <w:rsid w:val="4B517E8D"/>
    <w:rsid w:val="4B572335"/>
    <w:rsid w:val="4B584B08"/>
    <w:rsid w:val="4B635E34"/>
    <w:rsid w:val="4B7D0C82"/>
    <w:rsid w:val="4B7F6D86"/>
    <w:rsid w:val="4B806DEF"/>
    <w:rsid w:val="4B825EFD"/>
    <w:rsid w:val="4B85123F"/>
    <w:rsid w:val="4B865D88"/>
    <w:rsid w:val="4B8C4DA1"/>
    <w:rsid w:val="4B8C60E7"/>
    <w:rsid w:val="4B9E23D3"/>
    <w:rsid w:val="4BA643B1"/>
    <w:rsid w:val="4BBF44D3"/>
    <w:rsid w:val="4BC44B03"/>
    <w:rsid w:val="4BD016F9"/>
    <w:rsid w:val="4BDF0074"/>
    <w:rsid w:val="4BE50519"/>
    <w:rsid w:val="4BF4363A"/>
    <w:rsid w:val="4BFE486C"/>
    <w:rsid w:val="4C06511B"/>
    <w:rsid w:val="4C111EC4"/>
    <w:rsid w:val="4C1A162A"/>
    <w:rsid w:val="4C1B0C49"/>
    <w:rsid w:val="4C2D2171"/>
    <w:rsid w:val="4C3509BA"/>
    <w:rsid w:val="4C3677AE"/>
    <w:rsid w:val="4C37194B"/>
    <w:rsid w:val="4C485F9A"/>
    <w:rsid w:val="4C4C5224"/>
    <w:rsid w:val="4C516D4B"/>
    <w:rsid w:val="4C523EBC"/>
    <w:rsid w:val="4C5C6FBF"/>
    <w:rsid w:val="4C6547C6"/>
    <w:rsid w:val="4C6A56AA"/>
    <w:rsid w:val="4C6D1EFF"/>
    <w:rsid w:val="4C6E3382"/>
    <w:rsid w:val="4C6E379E"/>
    <w:rsid w:val="4C760D23"/>
    <w:rsid w:val="4C777025"/>
    <w:rsid w:val="4C7A2380"/>
    <w:rsid w:val="4C7B3413"/>
    <w:rsid w:val="4C8F6EBF"/>
    <w:rsid w:val="4C953E84"/>
    <w:rsid w:val="4C9638CC"/>
    <w:rsid w:val="4C9B3845"/>
    <w:rsid w:val="4C9B7ED7"/>
    <w:rsid w:val="4CA50490"/>
    <w:rsid w:val="4CA527B8"/>
    <w:rsid w:val="4CB01B26"/>
    <w:rsid w:val="4CB20980"/>
    <w:rsid w:val="4CB45EB9"/>
    <w:rsid w:val="4CC36B68"/>
    <w:rsid w:val="4CD1445D"/>
    <w:rsid w:val="4CD26ACC"/>
    <w:rsid w:val="4CDD5E7C"/>
    <w:rsid w:val="4CE472F8"/>
    <w:rsid w:val="4CEC7ED2"/>
    <w:rsid w:val="4CF203FA"/>
    <w:rsid w:val="4CF3627D"/>
    <w:rsid w:val="4CF73A22"/>
    <w:rsid w:val="4CF74876"/>
    <w:rsid w:val="4D0A46D7"/>
    <w:rsid w:val="4D16313C"/>
    <w:rsid w:val="4D1675E0"/>
    <w:rsid w:val="4D200529"/>
    <w:rsid w:val="4D232696"/>
    <w:rsid w:val="4D2C05EC"/>
    <w:rsid w:val="4D336261"/>
    <w:rsid w:val="4D3F6B37"/>
    <w:rsid w:val="4D470B7A"/>
    <w:rsid w:val="4D4C4DB0"/>
    <w:rsid w:val="4D5610A4"/>
    <w:rsid w:val="4D583754"/>
    <w:rsid w:val="4D594689"/>
    <w:rsid w:val="4D6245D3"/>
    <w:rsid w:val="4D665E71"/>
    <w:rsid w:val="4D7B134F"/>
    <w:rsid w:val="4D8B024A"/>
    <w:rsid w:val="4D8E7176"/>
    <w:rsid w:val="4D9B2444"/>
    <w:rsid w:val="4D9E1AAF"/>
    <w:rsid w:val="4DAB7D28"/>
    <w:rsid w:val="4DB03590"/>
    <w:rsid w:val="4DBC1F35"/>
    <w:rsid w:val="4DBF5582"/>
    <w:rsid w:val="4DC85499"/>
    <w:rsid w:val="4DCB03CA"/>
    <w:rsid w:val="4DCE1C69"/>
    <w:rsid w:val="4DDA29B7"/>
    <w:rsid w:val="4DDC4386"/>
    <w:rsid w:val="4DDC79AF"/>
    <w:rsid w:val="4DE66FB2"/>
    <w:rsid w:val="4DE91580"/>
    <w:rsid w:val="4DEB6377"/>
    <w:rsid w:val="4DED0AF3"/>
    <w:rsid w:val="4DEE390D"/>
    <w:rsid w:val="4DF07233"/>
    <w:rsid w:val="4DF27B06"/>
    <w:rsid w:val="4DF842F9"/>
    <w:rsid w:val="4DFF0A78"/>
    <w:rsid w:val="4E017D25"/>
    <w:rsid w:val="4E0E3A43"/>
    <w:rsid w:val="4E0F13AD"/>
    <w:rsid w:val="4E15569F"/>
    <w:rsid w:val="4E17189C"/>
    <w:rsid w:val="4E1E480E"/>
    <w:rsid w:val="4E1F5B78"/>
    <w:rsid w:val="4E2C01D4"/>
    <w:rsid w:val="4E2C3943"/>
    <w:rsid w:val="4E2D4209"/>
    <w:rsid w:val="4E2E44B5"/>
    <w:rsid w:val="4E3747A4"/>
    <w:rsid w:val="4E392EE6"/>
    <w:rsid w:val="4E40026B"/>
    <w:rsid w:val="4E405102"/>
    <w:rsid w:val="4E4172AF"/>
    <w:rsid w:val="4E4B5067"/>
    <w:rsid w:val="4E4D0182"/>
    <w:rsid w:val="4E5008D0"/>
    <w:rsid w:val="4E5B2459"/>
    <w:rsid w:val="4E653C41"/>
    <w:rsid w:val="4E75575B"/>
    <w:rsid w:val="4E7C0623"/>
    <w:rsid w:val="4E7F5E54"/>
    <w:rsid w:val="4E844A0F"/>
    <w:rsid w:val="4E846D63"/>
    <w:rsid w:val="4E902D85"/>
    <w:rsid w:val="4E9133C2"/>
    <w:rsid w:val="4E996A36"/>
    <w:rsid w:val="4E9D3B35"/>
    <w:rsid w:val="4EA6227D"/>
    <w:rsid w:val="4EA80A3C"/>
    <w:rsid w:val="4EA86055"/>
    <w:rsid w:val="4EB402BC"/>
    <w:rsid w:val="4EC25325"/>
    <w:rsid w:val="4ECC43FA"/>
    <w:rsid w:val="4ECE3645"/>
    <w:rsid w:val="4ED13998"/>
    <w:rsid w:val="4ED9072D"/>
    <w:rsid w:val="4ED96B17"/>
    <w:rsid w:val="4EDA5884"/>
    <w:rsid w:val="4EDF49D9"/>
    <w:rsid w:val="4EE83B86"/>
    <w:rsid w:val="4EED47BA"/>
    <w:rsid w:val="4EEF1E97"/>
    <w:rsid w:val="4EF3281D"/>
    <w:rsid w:val="4EF83441"/>
    <w:rsid w:val="4F0022F6"/>
    <w:rsid w:val="4F015A00"/>
    <w:rsid w:val="4F05790C"/>
    <w:rsid w:val="4F0E67C1"/>
    <w:rsid w:val="4F147B4F"/>
    <w:rsid w:val="4F1531D7"/>
    <w:rsid w:val="4F1A1DB2"/>
    <w:rsid w:val="4F1B164B"/>
    <w:rsid w:val="4F1C60BB"/>
    <w:rsid w:val="4F264311"/>
    <w:rsid w:val="4F2A7373"/>
    <w:rsid w:val="4F3124AF"/>
    <w:rsid w:val="4F313DA9"/>
    <w:rsid w:val="4F3D2C02"/>
    <w:rsid w:val="4F4641AC"/>
    <w:rsid w:val="4F5649E2"/>
    <w:rsid w:val="4F587A3C"/>
    <w:rsid w:val="4F5B48A0"/>
    <w:rsid w:val="4F5F3CE5"/>
    <w:rsid w:val="4F675ED1"/>
    <w:rsid w:val="4F693C93"/>
    <w:rsid w:val="4F69691D"/>
    <w:rsid w:val="4F700283"/>
    <w:rsid w:val="4F75362C"/>
    <w:rsid w:val="4F756840"/>
    <w:rsid w:val="4F7800DE"/>
    <w:rsid w:val="4F7F0F9B"/>
    <w:rsid w:val="4F7F321A"/>
    <w:rsid w:val="4F8627FB"/>
    <w:rsid w:val="4F894099"/>
    <w:rsid w:val="4F90459F"/>
    <w:rsid w:val="4F98252E"/>
    <w:rsid w:val="4FA5482F"/>
    <w:rsid w:val="4FA64B5F"/>
    <w:rsid w:val="4FAC7D88"/>
    <w:rsid w:val="4FB8497E"/>
    <w:rsid w:val="4FBA0757"/>
    <w:rsid w:val="4FBE70C7"/>
    <w:rsid w:val="4FC11FF8"/>
    <w:rsid w:val="4FC450D1"/>
    <w:rsid w:val="4FC542F6"/>
    <w:rsid w:val="4FC926E8"/>
    <w:rsid w:val="4FD55530"/>
    <w:rsid w:val="4FDC32A3"/>
    <w:rsid w:val="4FE92C8C"/>
    <w:rsid w:val="4FE92CD6"/>
    <w:rsid w:val="4FED50B7"/>
    <w:rsid w:val="4FF87C97"/>
    <w:rsid w:val="4FFB6776"/>
    <w:rsid w:val="4FFC0F79"/>
    <w:rsid w:val="4FFE6835"/>
    <w:rsid w:val="5001561F"/>
    <w:rsid w:val="5007470D"/>
    <w:rsid w:val="500C0D30"/>
    <w:rsid w:val="500D065A"/>
    <w:rsid w:val="501778F7"/>
    <w:rsid w:val="5021757A"/>
    <w:rsid w:val="502B6F32"/>
    <w:rsid w:val="503061A6"/>
    <w:rsid w:val="50314918"/>
    <w:rsid w:val="50331B89"/>
    <w:rsid w:val="50342257"/>
    <w:rsid w:val="503708EA"/>
    <w:rsid w:val="503A2A08"/>
    <w:rsid w:val="503C735D"/>
    <w:rsid w:val="503E2B76"/>
    <w:rsid w:val="504306EC"/>
    <w:rsid w:val="50505759"/>
    <w:rsid w:val="5059117C"/>
    <w:rsid w:val="506034E4"/>
    <w:rsid w:val="507B1567"/>
    <w:rsid w:val="508715B7"/>
    <w:rsid w:val="508E172F"/>
    <w:rsid w:val="50946536"/>
    <w:rsid w:val="50A11925"/>
    <w:rsid w:val="50A149FA"/>
    <w:rsid w:val="50A51574"/>
    <w:rsid w:val="50AD3DB7"/>
    <w:rsid w:val="50B47BA1"/>
    <w:rsid w:val="50BE2F4E"/>
    <w:rsid w:val="50C36516"/>
    <w:rsid w:val="50C406E4"/>
    <w:rsid w:val="50C70742"/>
    <w:rsid w:val="50CA2C6F"/>
    <w:rsid w:val="50CC06E1"/>
    <w:rsid w:val="50F6539A"/>
    <w:rsid w:val="50F92314"/>
    <w:rsid w:val="50FC089B"/>
    <w:rsid w:val="5100368A"/>
    <w:rsid w:val="51063B27"/>
    <w:rsid w:val="5107033A"/>
    <w:rsid w:val="510B0730"/>
    <w:rsid w:val="510D0A66"/>
    <w:rsid w:val="510F0C70"/>
    <w:rsid w:val="510F5416"/>
    <w:rsid w:val="511931FB"/>
    <w:rsid w:val="511B2C1C"/>
    <w:rsid w:val="512E3153"/>
    <w:rsid w:val="513F2CFC"/>
    <w:rsid w:val="51430A19"/>
    <w:rsid w:val="5147420C"/>
    <w:rsid w:val="51497021"/>
    <w:rsid w:val="514B7984"/>
    <w:rsid w:val="514C35D0"/>
    <w:rsid w:val="514E1123"/>
    <w:rsid w:val="514F30C0"/>
    <w:rsid w:val="51546137"/>
    <w:rsid w:val="51564879"/>
    <w:rsid w:val="515A7E01"/>
    <w:rsid w:val="515B5277"/>
    <w:rsid w:val="516014E1"/>
    <w:rsid w:val="5160707C"/>
    <w:rsid w:val="51640EC9"/>
    <w:rsid w:val="51683C7B"/>
    <w:rsid w:val="516923FF"/>
    <w:rsid w:val="516F2CD4"/>
    <w:rsid w:val="517F2822"/>
    <w:rsid w:val="51850890"/>
    <w:rsid w:val="51865439"/>
    <w:rsid w:val="518A2A4C"/>
    <w:rsid w:val="518E4C3A"/>
    <w:rsid w:val="518E7EE7"/>
    <w:rsid w:val="519136D9"/>
    <w:rsid w:val="5194324E"/>
    <w:rsid w:val="51B11685"/>
    <w:rsid w:val="51BC6CA9"/>
    <w:rsid w:val="51C25640"/>
    <w:rsid w:val="51C3041D"/>
    <w:rsid w:val="51C40514"/>
    <w:rsid w:val="51CB2747"/>
    <w:rsid w:val="51D27F79"/>
    <w:rsid w:val="51D57A6A"/>
    <w:rsid w:val="51D709E5"/>
    <w:rsid w:val="51DC173E"/>
    <w:rsid w:val="51F15F26"/>
    <w:rsid w:val="51F276FD"/>
    <w:rsid w:val="51F713E7"/>
    <w:rsid w:val="51FE5D5E"/>
    <w:rsid w:val="5201102E"/>
    <w:rsid w:val="520670C5"/>
    <w:rsid w:val="52067C23"/>
    <w:rsid w:val="520B7076"/>
    <w:rsid w:val="520D148E"/>
    <w:rsid w:val="521C56DD"/>
    <w:rsid w:val="522B6ECD"/>
    <w:rsid w:val="52340622"/>
    <w:rsid w:val="523429E2"/>
    <w:rsid w:val="52350508"/>
    <w:rsid w:val="523952D8"/>
    <w:rsid w:val="523F0D00"/>
    <w:rsid w:val="523F1BE6"/>
    <w:rsid w:val="5244006A"/>
    <w:rsid w:val="524B1ADA"/>
    <w:rsid w:val="524F69C3"/>
    <w:rsid w:val="52537D77"/>
    <w:rsid w:val="52552958"/>
    <w:rsid w:val="52581A78"/>
    <w:rsid w:val="525E180D"/>
    <w:rsid w:val="52641C79"/>
    <w:rsid w:val="526B0D4E"/>
    <w:rsid w:val="527557FF"/>
    <w:rsid w:val="527728CF"/>
    <w:rsid w:val="52794E9C"/>
    <w:rsid w:val="52940ADB"/>
    <w:rsid w:val="52950FA7"/>
    <w:rsid w:val="52990A97"/>
    <w:rsid w:val="52AF2069"/>
    <w:rsid w:val="52B35FD7"/>
    <w:rsid w:val="52B9219E"/>
    <w:rsid w:val="52B972D9"/>
    <w:rsid w:val="52C621FD"/>
    <w:rsid w:val="52CA29FF"/>
    <w:rsid w:val="52D17635"/>
    <w:rsid w:val="52DB2E5E"/>
    <w:rsid w:val="52E37248"/>
    <w:rsid w:val="52E57838"/>
    <w:rsid w:val="52E76E88"/>
    <w:rsid w:val="52E87329"/>
    <w:rsid w:val="52EA1ACE"/>
    <w:rsid w:val="52ED34A2"/>
    <w:rsid w:val="52F310C7"/>
    <w:rsid w:val="52F55D8A"/>
    <w:rsid w:val="52FB4C31"/>
    <w:rsid w:val="53000B16"/>
    <w:rsid w:val="530B16F1"/>
    <w:rsid w:val="530B45AD"/>
    <w:rsid w:val="530C7F6E"/>
    <w:rsid w:val="53140F3C"/>
    <w:rsid w:val="53207BF7"/>
    <w:rsid w:val="532326CC"/>
    <w:rsid w:val="532433A6"/>
    <w:rsid w:val="532742F5"/>
    <w:rsid w:val="532A3B68"/>
    <w:rsid w:val="53363557"/>
    <w:rsid w:val="534301D9"/>
    <w:rsid w:val="5356046C"/>
    <w:rsid w:val="53567AD5"/>
    <w:rsid w:val="535B51F7"/>
    <w:rsid w:val="53633EBF"/>
    <w:rsid w:val="536A3507"/>
    <w:rsid w:val="536C7F5A"/>
    <w:rsid w:val="538C174C"/>
    <w:rsid w:val="539111F2"/>
    <w:rsid w:val="53933738"/>
    <w:rsid w:val="539F7F48"/>
    <w:rsid w:val="53A05E03"/>
    <w:rsid w:val="53B35B89"/>
    <w:rsid w:val="53BF452D"/>
    <w:rsid w:val="53D43C9C"/>
    <w:rsid w:val="53D53D51"/>
    <w:rsid w:val="53D77C6E"/>
    <w:rsid w:val="53D8739D"/>
    <w:rsid w:val="53DB0F9E"/>
    <w:rsid w:val="53DB1F69"/>
    <w:rsid w:val="53DB5EF4"/>
    <w:rsid w:val="53E218B3"/>
    <w:rsid w:val="53E90C4C"/>
    <w:rsid w:val="53EB37F6"/>
    <w:rsid w:val="53EE096F"/>
    <w:rsid w:val="53F00B8B"/>
    <w:rsid w:val="53F51CFD"/>
    <w:rsid w:val="53FD0BB2"/>
    <w:rsid w:val="5404030C"/>
    <w:rsid w:val="54125FF5"/>
    <w:rsid w:val="54230771"/>
    <w:rsid w:val="54261FF7"/>
    <w:rsid w:val="542D5D66"/>
    <w:rsid w:val="542E7133"/>
    <w:rsid w:val="54304DB4"/>
    <w:rsid w:val="543A1E06"/>
    <w:rsid w:val="543E18F6"/>
    <w:rsid w:val="54541D96"/>
    <w:rsid w:val="54596EF1"/>
    <w:rsid w:val="545D1147"/>
    <w:rsid w:val="54617393"/>
    <w:rsid w:val="54631EE1"/>
    <w:rsid w:val="5463310B"/>
    <w:rsid w:val="54650864"/>
    <w:rsid w:val="546729B6"/>
    <w:rsid w:val="54674883"/>
    <w:rsid w:val="546B0211"/>
    <w:rsid w:val="5478469F"/>
    <w:rsid w:val="54845D7B"/>
    <w:rsid w:val="548A4B3B"/>
    <w:rsid w:val="548D0188"/>
    <w:rsid w:val="548F305B"/>
    <w:rsid w:val="54971006"/>
    <w:rsid w:val="549A4653"/>
    <w:rsid w:val="549F5ACB"/>
    <w:rsid w:val="54A86D6F"/>
    <w:rsid w:val="54AB1879"/>
    <w:rsid w:val="54B37E63"/>
    <w:rsid w:val="54B61B71"/>
    <w:rsid w:val="54B868DA"/>
    <w:rsid w:val="54BE6593"/>
    <w:rsid w:val="54C067AF"/>
    <w:rsid w:val="54D73AF9"/>
    <w:rsid w:val="54E604C9"/>
    <w:rsid w:val="54E63E5C"/>
    <w:rsid w:val="54EB1352"/>
    <w:rsid w:val="54F11D89"/>
    <w:rsid w:val="54F2623D"/>
    <w:rsid w:val="54FE1085"/>
    <w:rsid w:val="5500435F"/>
    <w:rsid w:val="55081F04"/>
    <w:rsid w:val="550D12C8"/>
    <w:rsid w:val="5512068D"/>
    <w:rsid w:val="55122C74"/>
    <w:rsid w:val="55125CF2"/>
    <w:rsid w:val="551431D4"/>
    <w:rsid w:val="551E5284"/>
    <w:rsid w:val="552E1B7F"/>
    <w:rsid w:val="552F7491"/>
    <w:rsid w:val="553F303A"/>
    <w:rsid w:val="55432C47"/>
    <w:rsid w:val="554966A6"/>
    <w:rsid w:val="554D2CFE"/>
    <w:rsid w:val="554F5F7F"/>
    <w:rsid w:val="555714B5"/>
    <w:rsid w:val="55655FAE"/>
    <w:rsid w:val="55717AA9"/>
    <w:rsid w:val="55732B60"/>
    <w:rsid w:val="5587498A"/>
    <w:rsid w:val="5588094F"/>
    <w:rsid w:val="55884042"/>
    <w:rsid w:val="55967510"/>
    <w:rsid w:val="55970819"/>
    <w:rsid w:val="55986DE4"/>
    <w:rsid w:val="559D089E"/>
    <w:rsid w:val="55A638B3"/>
    <w:rsid w:val="55A87E78"/>
    <w:rsid w:val="55AF1344"/>
    <w:rsid w:val="55B03911"/>
    <w:rsid w:val="55B10771"/>
    <w:rsid w:val="55BA0834"/>
    <w:rsid w:val="55BD4A9D"/>
    <w:rsid w:val="55C91743"/>
    <w:rsid w:val="55CA5A81"/>
    <w:rsid w:val="55CE0A58"/>
    <w:rsid w:val="55CE7799"/>
    <w:rsid w:val="55CF20A0"/>
    <w:rsid w:val="55D25C40"/>
    <w:rsid w:val="55D62F5C"/>
    <w:rsid w:val="55DD1A0F"/>
    <w:rsid w:val="55DD513F"/>
    <w:rsid w:val="55DF60C7"/>
    <w:rsid w:val="55E3334C"/>
    <w:rsid w:val="55E832A6"/>
    <w:rsid w:val="55EB48A6"/>
    <w:rsid w:val="55F30E58"/>
    <w:rsid w:val="55F61D5C"/>
    <w:rsid w:val="55FB016C"/>
    <w:rsid w:val="56073F6A"/>
    <w:rsid w:val="560C2EA9"/>
    <w:rsid w:val="56114DE8"/>
    <w:rsid w:val="56170E5C"/>
    <w:rsid w:val="56187F25"/>
    <w:rsid w:val="561E12D9"/>
    <w:rsid w:val="56247648"/>
    <w:rsid w:val="56252BD0"/>
    <w:rsid w:val="56335EF7"/>
    <w:rsid w:val="56350AD7"/>
    <w:rsid w:val="56370FCD"/>
    <w:rsid w:val="563B22D0"/>
    <w:rsid w:val="563F7043"/>
    <w:rsid w:val="56446F6C"/>
    <w:rsid w:val="56460CB2"/>
    <w:rsid w:val="56501B9C"/>
    <w:rsid w:val="565A0B26"/>
    <w:rsid w:val="56777341"/>
    <w:rsid w:val="567A0BDF"/>
    <w:rsid w:val="567C1ADA"/>
    <w:rsid w:val="568054BB"/>
    <w:rsid w:val="56813D1C"/>
    <w:rsid w:val="5681668D"/>
    <w:rsid w:val="568902B0"/>
    <w:rsid w:val="56892BD1"/>
    <w:rsid w:val="568F2E84"/>
    <w:rsid w:val="568F2FC7"/>
    <w:rsid w:val="56912410"/>
    <w:rsid w:val="56984760"/>
    <w:rsid w:val="569B62C8"/>
    <w:rsid w:val="56A123C2"/>
    <w:rsid w:val="56A716B1"/>
    <w:rsid w:val="56A960F1"/>
    <w:rsid w:val="56AF3182"/>
    <w:rsid w:val="56BD287A"/>
    <w:rsid w:val="56C8528A"/>
    <w:rsid w:val="56C97471"/>
    <w:rsid w:val="56CA56C3"/>
    <w:rsid w:val="56CC3048"/>
    <w:rsid w:val="56CE2C92"/>
    <w:rsid w:val="56CF73D7"/>
    <w:rsid w:val="56D402F0"/>
    <w:rsid w:val="56D5201D"/>
    <w:rsid w:val="56DC07A1"/>
    <w:rsid w:val="56E85B49"/>
    <w:rsid w:val="56EA634F"/>
    <w:rsid w:val="56F20776"/>
    <w:rsid w:val="56F63A0F"/>
    <w:rsid w:val="570D61F1"/>
    <w:rsid w:val="57137FDE"/>
    <w:rsid w:val="57151371"/>
    <w:rsid w:val="57183EC4"/>
    <w:rsid w:val="571903F8"/>
    <w:rsid w:val="57277DA4"/>
    <w:rsid w:val="572F7DD4"/>
    <w:rsid w:val="57315BAF"/>
    <w:rsid w:val="57365A36"/>
    <w:rsid w:val="5737262D"/>
    <w:rsid w:val="57390153"/>
    <w:rsid w:val="57392849"/>
    <w:rsid w:val="57437223"/>
    <w:rsid w:val="57452F9B"/>
    <w:rsid w:val="574A7101"/>
    <w:rsid w:val="575A375D"/>
    <w:rsid w:val="576421BC"/>
    <w:rsid w:val="57666885"/>
    <w:rsid w:val="57680CE5"/>
    <w:rsid w:val="577218B7"/>
    <w:rsid w:val="57725BA1"/>
    <w:rsid w:val="5775707C"/>
    <w:rsid w:val="57761177"/>
    <w:rsid w:val="577F11AB"/>
    <w:rsid w:val="57831E68"/>
    <w:rsid w:val="578515EA"/>
    <w:rsid w:val="57851E44"/>
    <w:rsid w:val="579217A4"/>
    <w:rsid w:val="5797131D"/>
    <w:rsid w:val="57981DED"/>
    <w:rsid w:val="579831F5"/>
    <w:rsid w:val="57AE6D93"/>
    <w:rsid w:val="57B36157"/>
    <w:rsid w:val="57C02622"/>
    <w:rsid w:val="57C245EC"/>
    <w:rsid w:val="57C7431A"/>
    <w:rsid w:val="57CB074C"/>
    <w:rsid w:val="57CC5032"/>
    <w:rsid w:val="57CF6D09"/>
    <w:rsid w:val="57D60097"/>
    <w:rsid w:val="57D63C32"/>
    <w:rsid w:val="57E02CC4"/>
    <w:rsid w:val="57EE3633"/>
    <w:rsid w:val="57F82234"/>
    <w:rsid w:val="58010622"/>
    <w:rsid w:val="58066460"/>
    <w:rsid w:val="580D19A0"/>
    <w:rsid w:val="581E0C81"/>
    <w:rsid w:val="58211499"/>
    <w:rsid w:val="582A7E04"/>
    <w:rsid w:val="582D6CD8"/>
    <w:rsid w:val="58333E59"/>
    <w:rsid w:val="58380F55"/>
    <w:rsid w:val="58441D98"/>
    <w:rsid w:val="585330DD"/>
    <w:rsid w:val="5854224A"/>
    <w:rsid w:val="58682C37"/>
    <w:rsid w:val="58735B28"/>
    <w:rsid w:val="58755CF4"/>
    <w:rsid w:val="5878474D"/>
    <w:rsid w:val="587C40A9"/>
    <w:rsid w:val="588214EF"/>
    <w:rsid w:val="588E2720"/>
    <w:rsid w:val="589067FA"/>
    <w:rsid w:val="58932207"/>
    <w:rsid w:val="58A261CC"/>
    <w:rsid w:val="58A60F19"/>
    <w:rsid w:val="58AB5103"/>
    <w:rsid w:val="58B0322F"/>
    <w:rsid w:val="58B2640F"/>
    <w:rsid w:val="58BD6B62"/>
    <w:rsid w:val="58BF0B2C"/>
    <w:rsid w:val="58C43CFF"/>
    <w:rsid w:val="58CC5A60"/>
    <w:rsid w:val="58D33D61"/>
    <w:rsid w:val="58D81BED"/>
    <w:rsid w:val="58DE5456"/>
    <w:rsid w:val="58DF62CA"/>
    <w:rsid w:val="58E40592"/>
    <w:rsid w:val="58E96F63"/>
    <w:rsid w:val="58EB5526"/>
    <w:rsid w:val="58EC468D"/>
    <w:rsid w:val="58ED5699"/>
    <w:rsid w:val="58F033DB"/>
    <w:rsid w:val="58F06F55"/>
    <w:rsid w:val="58FA7DB6"/>
    <w:rsid w:val="590558CB"/>
    <w:rsid w:val="5912048A"/>
    <w:rsid w:val="59177EE8"/>
    <w:rsid w:val="591A464E"/>
    <w:rsid w:val="591F2028"/>
    <w:rsid w:val="59246BE1"/>
    <w:rsid w:val="59281E8B"/>
    <w:rsid w:val="592B0314"/>
    <w:rsid w:val="592D018B"/>
    <w:rsid w:val="592D1F39"/>
    <w:rsid w:val="59442C3B"/>
    <w:rsid w:val="59451AAD"/>
    <w:rsid w:val="5954396A"/>
    <w:rsid w:val="595474C6"/>
    <w:rsid w:val="59570D64"/>
    <w:rsid w:val="59590AE6"/>
    <w:rsid w:val="59637709"/>
    <w:rsid w:val="59653481"/>
    <w:rsid w:val="596B5463"/>
    <w:rsid w:val="596F37A7"/>
    <w:rsid w:val="5975743C"/>
    <w:rsid w:val="5979368A"/>
    <w:rsid w:val="597A4A53"/>
    <w:rsid w:val="597E09E7"/>
    <w:rsid w:val="597E4CC7"/>
    <w:rsid w:val="598C23E1"/>
    <w:rsid w:val="599028BB"/>
    <w:rsid w:val="59916541"/>
    <w:rsid w:val="59A07318"/>
    <w:rsid w:val="59A10231"/>
    <w:rsid w:val="59AD305B"/>
    <w:rsid w:val="59BD28B9"/>
    <w:rsid w:val="59BE5287"/>
    <w:rsid w:val="59C15E95"/>
    <w:rsid w:val="59C20994"/>
    <w:rsid w:val="59C51D9F"/>
    <w:rsid w:val="59C812C8"/>
    <w:rsid w:val="59C81A86"/>
    <w:rsid w:val="59CA211D"/>
    <w:rsid w:val="59CD1026"/>
    <w:rsid w:val="59DD672F"/>
    <w:rsid w:val="59DE0EBB"/>
    <w:rsid w:val="59E470D5"/>
    <w:rsid w:val="59E56370"/>
    <w:rsid w:val="59E92324"/>
    <w:rsid w:val="59EB795A"/>
    <w:rsid w:val="59EC3BA2"/>
    <w:rsid w:val="59F83ACC"/>
    <w:rsid w:val="59F91E1B"/>
    <w:rsid w:val="59FD7B5D"/>
    <w:rsid w:val="59FF519D"/>
    <w:rsid w:val="5A062557"/>
    <w:rsid w:val="5A154CDD"/>
    <w:rsid w:val="5A20384C"/>
    <w:rsid w:val="5A271843"/>
    <w:rsid w:val="5A274F97"/>
    <w:rsid w:val="5A381D2E"/>
    <w:rsid w:val="5A382DEE"/>
    <w:rsid w:val="5A3B68D8"/>
    <w:rsid w:val="5A3D61AC"/>
    <w:rsid w:val="5A3F0176"/>
    <w:rsid w:val="5A41136B"/>
    <w:rsid w:val="5A433D77"/>
    <w:rsid w:val="5A4C1A13"/>
    <w:rsid w:val="5A4C3297"/>
    <w:rsid w:val="5A54702E"/>
    <w:rsid w:val="5A593745"/>
    <w:rsid w:val="5A5C782E"/>
    <w:rsid w:val="5A67147B"/>
    <w:rsid w:val="5A6D5FF1"/>
    <w:rsid w:val="5A6E45B7"/>
    <w:rsid w:val="5A705E49"/>
    <w:rsid w:val="5A723EA2"/>
    <w:rsid w:val="5A7D0C9E"/>
    <w:rsid w:val="5A832CFF"/>
    <w:rsid w:val="5A8E18F3"/>
    <w:rsid w:val="5A912008"/>
    <w:rsid w:val="5A932B0C"/>
    <w:rsid w:val="5AAF42C3"/>
    <w:rsid w:val="5AB0385B"/>
    <w:rsid w:val="5AB056ED"/>
    <w:rsid w:val="5AB17588"/>
    <w:rsid w:val="5AB34F0A"/>
    <w:rsid w:val="5AB731BB"/>
    <w:rsid w:val="5AB75F5E"/>
    <w:rsid w:val="5ABD59A7"/>
    <w:rsid w:val="5AC32B55"/>
    <w:rsid w:val="5ACC4FE4"/>
    <w:rsid w:val="5AD56688"/>
    <w:rsid w:val="5AD647B2"/>
    <w:rsid w:val="5AD703AE"/>
    <w:rsid w:val="5ADA4AF0"/>
    <w:rsid w:val="5AE942FB"/>
    <w:rsid w:val="5AF72A21"/>
    <w:rsid w:val="5AFC1BC3"/>
    <w:rsid w:val="5AFF16B3"/>
    <w:rsid w:val="5B021F07"/>
    <w:rsid w:val="5B09158A"/>
    <w:rsid w:val="5B16503A"/>
    <w:rsid w:val="5B182775"/>
    <w:rsid w:val="5B20391A"/>
    <w:rsid w:val="5B247636"/>
    <w:rsid w:val="5B27256A"/>
    <w:rsid w:val="5B273CBB"/>
    <w:rsid w:val="5B2917CA"/>
    <w:rsid w:val="5B361906"/>
    <w:rsid w:val="5B3752F1"/>
    <w:rsid w:val="5B386973"/>
    <w:rsid w:val="5B566289"/>
    <w:rsid w:val="5B57504B"/>
    <w:rsid w:val="5B6065F6"/>
    <w:rsid w:val="5B610E2E"/>
    <w:rsid w:val="5B6A1223"/>
    <w:rsid w:val="5B6E1487"/>
    <w:rsid w:val="5B6F4A8B"/>
    <w:rsid w:val="5B721E85"/>
    <w:rsid w:val="5B743E4F"/>
    <w:rsid w:val="5B845EC2"/>
    <w:rsid w:val="5B85605C"/>
    <w:rsid w:val="5B8F0C89"/>
    <w:rsid w:val="5B955B74"/>
    <w:rsid w:val="5B9B5880"/>
    <w:rsid w:val="5BA66C4B"/>
    <w:rsid w:val="5BA70815"/>
    <w:rsid w:val="5BA83AF9"/>
    <w:rsid w:val="5BAA3E72"/>
    <w:rsid w:val="5BB16F8F"/>
    <w:rsid w:val="5BB26AD7"/>
    <w:rsid w:val="5BB64468"/>
    <w:rsid w:val="5BC47E42"/>
    <w:rsid w:val="5BCC18DD"/>
    <w:rsid w:val="5BD02F09"/>
    <w:rsid w:val="5BD91F04"/>
    <w:rsid w:val="5BD948A8"/>
    <w:rsid w:val="5BDB1313"/>
    <w:rsid w:val="5BDD5F41"/>
    <w:rsid w:val="5BE329ED"/>
    <w:rsid w:val="5BE813A6"/>
    <w:rsid w:val="5C0351D3"/>
    <w:rsid w:val="5C05719D"/>
    <w:rsid w:val="5C081682"/>
    <w:rsid w:val="5C196E8D"/>
    <w:rsid w:val="5C2313D1"/>
    <w:rsid w:val="5C2946FE"/>
    <w:rsid w:val="5C3A44DB"/>
    <w:rsid w:val="5C3B496D"/>
    <w:rsid w:val="5C3E620B"/>
    <w:rsid w:val="5C4946BC"/>
    <w:rsid w:val="5C567A90"/>
    <w:rsid w:val="5C661DA0"/>
    <w:rsid w:val="5C69130F"/>
    <w:rsid w:val="5C6A6349"/>
    <w:rsid w:val="5C70214B"/>
    <w:rsid w:val="5C763BF7"/>
    <w:rsid w:val="5C797243"/>
    <w:rsid w:val="5C7E5441"/>
    <w:rsid w:val="5C855BE8"/>
    <w:rsid w:val="5C873416"/>
    <w:rsid w:val="5C8956D8"/>
    <w:rsid w:val="5C8E2CEF"/>
    <w:rsid w:val="5C90011F"/>
    <w:rsid w:val="5C902F0B"/>
    <w:rsid w:val="5C983B6D"/>
    <w:rsid w:val="5C9C75A0"/>
    <w:rsid w:val="5CA43999"/>
    <w:rsid w:val="5CA93FCD"/>
    <w:rsid w:val="5CAA4A3D"/>
    <w:rsid w:val="5CB5471F"/>
    <w:rsid w:val="5CB94DB3"/>
    <w:rsid w:val="5CBD6F6C"/>
    <w:rsid w:val="5CC5232D"/>
    <w:rsid w:val="5CC52489"/>
    <w:rsid w:val="5CC75D91"/>
    <w:rsid w:val="5CCF1699"/>
    <w:rsid w:val="5CF317D5"/>
    <w:rsid w:val="5CF3349A"/>
    <w:rsid w:val="5CF36FF6"/>
    <w:rsid w:val="5CFC4E4D"/>
    <w:rsid w:val="5D0134C1"/>
    <w:rsid w:val="5D055D7B"/>
    <w:rsid w:val="5D096819"/>
    <w:rsid w:val="5D2673CB"/>
    <w:rsid w:val="5D333896"/>
    <w:rsid w:val="5D3A69D3"/>
    <w:rsid w:val="5D3C6BEF"/>
    <w:rsid w:val="5D3F5C6C"/>
    <w:rsid w:val="5D4730D6"/>
    <w:rsid w:val="5D494E68"/>
    <w:rsid w:val="5D4B50BD"/>
    <w:rsid w:val="5D4C7177"/>
    <w:rsid w:val="5D503F6A"/>
    <w:rsid w:val="5D5057F4"/>
    <w:rsid w:val="5D5415E3"/>
    <w:rsid w:val="5D555685"/>
    <w:rsid w:val="5D5604AC"/>
    <w:rsid w:val="5D5C2417"/>
    <w:rsid w:val="5D656145"/>
    <w:rsid w:val="5D720609"/>
    <w:rsid w:val="5D7C1623"/>
    <w:rsid w:val="5D7E131C"/>
    <w:rsid w:val="5D812854"/>
    <w:rsid w:val="5D8C72AA"/>
    <w:rsid w:val="5D8E5966"/>
    <w:rsid w:val="5D9B657D"/>
    <w:rsid w:val="5DA36C6E"/>
    <w:rsid w:val="5DA47397"/>
    <w:rsid w:val="5DB372EA"/>
    <w:rsid w:val="5DB3780B"/>
    <w:rsid w:val="5DB56A13"/>
    <w:rsid w:val="5DB62312"/>
    <w:rsid w:val="5DC10EA2"/>
    <w:rsid w:val="5DD9538B"/>
    <w:rsid w:val="5DDF6716"/>
    <w:rsid w:val="5DE26930"/>
    <w:rsid w:val="5DE425A9"/>
    <w:rsid w:val="5DE44ECD"/>
    <w:rsid w:val="5DEA7E12"/>
    <w:rsid w:val="5DF272AD"/>
    <w:rsid w:val="5DF90711"/>
    <w:rsid w:val="5DF94AE0"/>
    <w:rsid w:val="5DFB2606"/>
    <w:rsid w:val="5E0D6214"/>
    <w:rsid w:val="5E1035F0"/>
    <w:rsid w:val="5E1216FE"/>
    <w:rsid w:val="5E1B45C5"/>
    <w:rsid w:val="5E227EBD"/>
    <w:rsid w:val="5E2356B9"/>
    <w:rsid w:val="5E260B13"/>
    <w:rsid w:val="5E2610E6"/>
    <w:rsid w:val="5E27460C"/>
    <w:rsid w:val="5E317DD6"/>
    <w:rsid w:val="5E323B4E"/>
    <w:rsid w:val="5E3560DD"/>
    <w:rsid w:val="5E374562"/>
    <w:rsid w:val="5E402DA6"/>
    <w:rsid w:val="5E4A6B29"/>
    <w:rsid w:val="5E5560E4"/>
    <w:rsid w:val="5E5A777A"/>
    <w:rsid w:val="5E653F23"/>
    <w:rsid w:val="5E656368"/>
    <w:rsid w:val="5E6C52B2"/>
    <w:rsid w:val="5E6C7060"/>
    <w:rsid w:val="5E726E21"/>
    <w:rsid w:val="5E803E0E"/>
    <w:rsid w:val="5E8154E7"/>
    <w:rsid w:val="5E824AD5"/>
    <w:rsid w:val="5E856373"/>
    <w:rsid w:val="5E875C48"/>
    <w:rsid w:val="5E984375"/>
    <w:rsid w:val="5E99597B"/>
    <w:rsid w:val="5E9C6BAA"/>
    <w:rsid w:val="5E9F7435"/>
    <w:rsid w:val="5EA54320"/>
    <w:rsid w:val="5EA83F26"/>
    <w:rsid w:val="5EA84B24"/>
    <w:rsid w:val="5EA97FBE"/>
    <w:rsid w:val="5EAA74B3"/>
    <w:rsid w:val="5EAF519E"/>
    <w:rsid w:val="5EB13A4F"/>
    <w:rsid w:val="5EBE3927"/>
    <w:rsid w:val="5EC21236"/>
    <w:rsid w:val="5EC62C14"/>
    <w:rsid w:val="5EC96260"/>
    <w:rsid w:val="5ECA45EF"/>
    <w:rsid w:val="5ECC7AFE"/>
    <w:rsid w:val="5ECD6BBC"/>
    <w:rsid w:val="5ED0269B"/>
    <w:rsid w:val="5EEC01A1"/>
    <w:rsid w:val="5EF83B6E"/>
    <w:rsid w:val="5EFD23AE"/>
    <w:rsid w:val="5EFE2691"/>
    <w:rsid w:val="5F0152CA"/>
    <w:rsid w:val="5F08322C"/>
    <w:rsid w:val="5F117C07"/>
    <w:rsid w:val="5F182D44"/>
    <w:rsid w:val="5F184F02"/>
    <w:rsid w:val="5F1E726B"/>
    <w:rsid w:val="5F1F2BBA"/>
    <w:rsid w:val="5F1F61F7"/>
    <w:rsid w:val="5F266948"/>
    <w:rsid w:val="5F2B2A77"/>
    <w:rsid w:val="5F2B3561"/>
    <w:rsid w:val="5F2D41D5"/>
    <w:rsid w:val="5F2D46F6"/>
    <w:rsid w:val="5F32465D"/>
    <w:rsid w:val="5F3B7E71"/>
    <w:rsid w:val="5F413832"/>
    <w:rsid w:val="5F613A92"/>
    <w:rsid w:val="5F6B37BB"/>
    <w:rsid w:val="5F6B4484"/>
    <w:rsid w:val="5F770007"/>
    <w:rsid w:val="5F7758AA"/>
    <w:rsid w:val="5F7B1B29"/>
    <w:rsid w:val="5F842A2D"/>
    <w:rsid w:val="5F8804C8"/>
    <w:rsid w:val="5F904FD0"/>
    <w:rsid w:val="5F9505A4"/>
    <w:rsid w:val="5FB17ED2"/>
    <w:rsid w:val="5FBE38EB"/>
    <w:rsid w:val="5FBF3218"/>
    <w:rsid w:val="5FC1456B"/>
    <w:rsid w:val="5FCC5F1D"/>
    <w:rsid w:val="5FD4310E"/>
    <w:rsid w:val="5FE408E8"/>
    <w:rsid w:val="5FE65C93"/>
    <w:rsid w:val="5FE93541"/>
    <w:rsid w:val="5FEA2B00"/>
    <w:rsid w:val="5FEC48FC"/>
    <w:rsid w:val="5FF217E7"/>
    <w:rsid w:val="5FF801EB"/>
    <w:rsid w:val="5FFA069B"/>
    <w:rsid w:val="5FFB74DE"/>
    <w:rsid w:val="5FFE1D8E"/>
    <w:rsid w:val="600018F4"/>
    <w:rsid w:val="60006F73"/>
    <w:rsid w:val="60020730"/>
    <w:rsid w:val="600328FB"/>
    <w:rsid w:val="60086032"/>
    <w:rsid w:val="601509F5"/>
    <w:rsid w:val="601F1CF2"/>
    <w:rsid w:val="60275934"/>
    <w:rsid w:val="6032695F"/>
    <w:rsid w:val="60330A7E"/>
    <w:rsid w:val="60383FDA"/>
    <w:rsid w:val="6042276E"/>
    <w:rsid w:val="604B7CD1"/>
    <w:rsid w:val="605C4EB2"/>
    <w:rsid w:val="605D679A"/>
    <w:rsid w:val="605F3F2D"/>
    <w:rsid w:val="606D5311"/>
    <w:rsid w:val="608710B4"/>
    <w:rsid w:val="608A0AB3"/>
    <w:rsid w:val="608F5287"/>
    <w:rsid w:val="60A0234C"/>
    <w:rsid w:val="60A42183"/>
    <w:rsid w:val="60A97028"/>
    <w:rsid w:val="60AA3E6F"/>
    <w:rsid w:val="60AC408B"/>
    <w:rsid w:val="60B778F8"/>
    <w:rsid w:val="60B847DE"/>
    <w:rsid w:val="60C86BCE"/>
    <w:rsid w:val="60CD27F8"/>
    <w:rsid w:val="60DE67AC"/>
    <w:rsid w:val="60DF1D6B"/>
    <w:rsid w:val="60E530F9"/>
    <w:rsid w:val="61005930"/>
    <w:rsid w:val="610542D8"/>
    <w:rsid w:val="6109503A"/>
    <w:rsid w:val="61102773"/>
    <w:rsid w:val="61183386"/>
    <w:rsid w:val="61270415"/>
    <w:rsid w:val="61296302"/>
    <w:rsid w:val="612D6949"/>
    <w:rsid w:val="612E684E"/>
    <w:rsid w:val="61300818"/>
    <w:rsid w:val="613101ED"/>
    <w:rsid w:val="61354E08"/>
    <w:rsid w:val="61376906"/>
    <w:rsid w:val="613F3693"/>
    <w:rsid w:val="61477A1D"/>
    <w:rsid w:val="61490E47"/>
    <w:rsid w:val="614C045E"/>
    <w:rsid w:val="615C6826"/>
    <w:rsid w:val="615D77C8"/>
    <w:rsid w:val="61722462"/>
    <w:rsid w:val="617615EF"/>
    <w:rsid w:val="618D42DF"/>
    <w:rsid w:val="618F19E3"/>
    <w:rsid w:val="618F60A7"/>
    <w:rsid w:val="6191435B"/>
    <w:rsid w:val="6193733C"/>
    <w:rsid w:val="619843B1"/>
    <w:rsid w:val="619863BE"/>
    <w:rsid w:val="61A05924"/>
    <w:rsid w:val="61C4452C"/>
    <w:rsid w:val="61C465F2"/>
    <w:rsid w:val="61CC2FB9"/>
    <w:rsid w:val="61CC5A70"/>
    <w:rsid w:val="61CD42B9"/>
    <w:rsid w:val="61D373F6"/>
    <w:rsid w:val="61E62104"/>
    <w:rsid w:val="61E77036"/>
    <w:rsid w:val="61E94674"/>
    <w:rsid w:val="61F07FA8"/>
    <w:rsid w:val="61F41846"/>
    <w:rsid w:val="61F6676E"/>
    <w:rsid w:val="6204799D"/>
    <w:rsid w:val="62092E18"/>
    <w:rsid w:val="620D0B5A"/>
    <w:rsid w:val="621243C2"/>
    <w:rsid w:val="62153F79"/>
    <w:rsid w:val="62180019"/>
    <w:rsid w:val="621C0D9D"/>
    <w:rsid w:val="62201C78"/>
    <w:rsid w:val="622A5268"/>
    <w:rsid w:val="622C0A3B"/>
    <w:rsid w:val="622C62A3"/>
    <w:rsid w:val="62333EF9"/>
    <w:rsid w:val="623F7337"/>
    <w:rsid w:val="62487DE4"/>
    <w:rsid w:val="624A3B5C"/>
    <w:rsid w:val="625C5CEF"/>
    <w:rsid w:val="62682234"/>
    <w:rsid w:val="62694E2A"/>
    <w:rsid w:val="626D33A6"/>
    <w:rsid w:val="626F4916"/>
    <w:rsid w:val="6276517B"/>
    <w:rsid w:val="62766F8F"/>
    <w:rsid w:val="627B1F67"/>
    <w:rsid w:val="627B5C6F"/>
    <w:rsid w:val="627F7144"/>
    <w:rsid w:val="628030DA"/>
    <w:rsid w:val="62893263"/>
    <w:rsid w:val="628D7730"/>
    <w:rsid w:val="629240A8"/>
    <w:rsid w:val="62A74966"/>
    <w:rsid w:val="62AC4EDB"/>
    <w:rsid w:val="62B10FBA"/>
    <w:rsid w:val="62B114E5"/>
    <w:rsid w:val="62B4307B"/>
    <w:rsid w:val="62B45479"/>
    <w:rsid w:val="62B468B7"/>
    <w:rsid w:val="62B76294"/>
    <w:rsid w:val="62B8237B"/>
    <w:rsid w:val="62B84BDB"/>
    <w:rsid w:val="62B965EC"/>
    <w:rsid w:val="62BA34AD"/>
    <w:rsid w:val="62BE3C02"/>
    <w:rsid w:val="62C16D24"/>
    <w:rsid w:val="62C258A1"/>
    <w:rsid w:val="62C93924"/>
    <w:rsid w:val="62CF006E"/>
    <w:rsid w:val="62D022B3"/>
    <w:rsid w:val="62D6719E"/>
    <w:rsid w:val="62D81168"/>
    <w:rsid w:val="62DD6668"/>
    <w:rsid w:val="62E92D3F"/>
    <w:rsid w:val="62EB78DE"/>
    <w:rsid w:val="62EC3F6D"/>
    <w:rsid w:val="62EF6D28"/>
    <w:rsid w:val="62F31AFE"/>
    <w:rsid w:val="62F50533"/>
    <w:rsid w:val="62FA294D"/>
    <w:rsid w:val="62FD1AE4"/>
    <w:rsid w:val="630737FB"/>
    <w:rsid w:val="63091321"/>
    <w:rsid w:val="63097573"/>
    <w:rsid w:val="630A26C8"/>
    <w:rsid w:val="63157D27"/>
    <w:rsid w:val="63161C90"/>
    <w:rsid w:val="6327124F"/>
    <w:rsid w:val="634767B0"/>
    <w:rsid w:val="634F483B"/>
    <w:rsid w:val="63620E56"/>
    <w:rsid w:val="636B3D8A"/>
    <w:rsid w:val="637104F8"/>
    <w:rsid w:val="63745F67"/>
    <w:rsid w:val="637A0055"/>
    <w:rsid w:val="63842564"/>
    <w:rsid w:val="63844E4C"/>
    <w:rsid w:val="6388493C"/>
    <w:rsid w:val="638B61DA"/>
    <w:rsid w:val="638D1F52"/>
    <w:rsid w:val="63901A42"/>
    <w:rsid w:val="63946906"/>
    <w:rsid w:val="63974B7F"/>
    <w:rsid w:val="63984DAC"/>
    <w:rsid w:val="639B4759"/>
    <w:rsid w:val="63AB4186"/>
    <w:rsid w:val="63B12249"/>
    <w:rsid w:val="63BB0188"/>
    <w:rsid w:val="63BD3EBA"/>
    <w:rsid w:val="63C32A58"/>
    <w:rsid w:val="63C6035F"/>
    <w:rsid w:val="63C71F9A"/>
    <w:rsid w:val="63D33AAF"/>
    <w:rsid w:val="63E43B3C"/>
    <w:rsid w:val="63F0603D"/>
    <w:rsid w:val="63FA510E"/>
    <w:rsid w:val="64020330"/>
    <w:rsid w:val="640416CC"/>
    <w:rsid w:val="640D3531"/>
    <w:rsid w:val="640F3580"/>
    <w:rsid w:val="641E2BAA"/>
    <w:rsid w:val="641F003A"/>
    <w:rsid w:val="64216B3E"/>
    <w:rsid w:val="643E7747"/>
    <w:rsid w:val="64427898"/>
    <w:rsid w:val="64546AB7"/>
    <w:rsid w:val="64552344"/>
    <w:rsid w:val="64590086"/>
    <w:rsid w:val="646B1B68"/>
    <w:rsid w:val="646F6D77"/>
    <w:rsid w:val="64745AA7"/>
    <w:rsid w:val="64770D47"/>
    <w:rsid w:val="647F43EB"/>
    <w:rsid w:val="64855383"/>
    <w:rsid w:val="64A136B8"/>
    <w:rsid w:val="64A90C3A"/>
    <w:rsid w:val="64A97DFA"/>
    <w:rsid w:val="64AA6B34"/>
    <w:rsid w:val="64AD03D2"/>
    <w:rsid w:val="64B27D3B"/>
    <w:rsid w:val="64BA0C7D"/>
    <w:rsid w:val="64BE5FF1"/>
    <w:rsid w:val="64CD637E"/>
    <w:rsid w:val="64D11BF8"/>
    <w:rsid w:val="64D27AC2"/>
    <w:rsid w:val="64D736B1"/>
    <w:rsid w:val="64D92F75"/>
    <w:rsid w:val="64DD4813"/>
    <w:rsid w:val="64DF7DC8"/>
    <w:rsid w:val="64E02496"/>
    <w:rsid w:val="64EF09EB"/>
    <w:rsid w:val="64FC1BF3"/>
    <w:rsid w:val="65031DA0"/>
    <w:rsid w:val="65044496"/>
    <w:rsid w:val="6509385A"/>
    <w:rsid w:val="650A6582"/>
    <w:rsid w:val="650A75D2"/>
    <w:rsid w:val="650A7F98"/>
    <w:rsid w:val="6511270F"/>
    <w:rsid w:val="6512060F"/>
    <w:rsid w:val="651346D9"/>
    <w:rsid w:val="651641C9"/>
    <w:rsid w:val="65197BB6"/>
    <w:rsid w:val="651A6282"/>
    <w:rsid w:val="65200617"/>
    <w:rsid w:val="65286D86"/>
    <w:rsid w:val="65287931"/>
    <w:rsid w:val="652F6141"/>
    <w:rsid w:val="65324354"/>
    <w:rsid w:val="6536646E"/>
    <w:rsid w:val="653667E4"/>
    <w:rsid w:val="65370CF2"/>
    <w:rsid w:val="653C23DF"/>
    <w:rsid w:val="653D1756"/>
    <w:rsid w:val="653D52B2"/>
    <w:rsid w:val="65446CC6"/>
    <w:rsid w:val="65585F5F"/>
    <w:rsid w:val="655B1DC9"/>
    <w:rsid w:val="65616BA7"/>
    <w:rsid w:val="65762EDC"/>
    <w:rsid w:val="65764C68"/>
    <w:rsid w:val="657A02B4"/>
    <w:rsid w:val="65861237"/>
    <w:rsid w:val="658C7FE7"/>
    <w:rsid w:val="658F0491"/>
    <w:rsid w:val="65984BDE"/>
    <w:rsid w:val="65A5639C"/>
    <w:rsid w:val="65A86437"/>
    <w:rsid w:val="65AC068A"/>
    <w:rsid w:val="65B467AE"/>
    <w:rsid w:val="65C11440"/>
    <w:rsid w:val="65C11FE8"/>
    <w:rsid w:val="65D11E9E"/>
    <w:rsid w:val="65D26342"/>
    <w:rsid w:val="65D41108"/>
    <w:rsid w:val="65D42F01"/>
    <w:rsid w:val="65DA27C1"/>
    <w:rsid w:val="65DC3C31"/>
    <w:rsid w:val="65DE3B2B"/>
    <w:rsid w:val="65E07E9D"/>
    <w:rsid w:val="65E33D52"/>
    <w:rsid w:val="65FD3C12"/>
    <w:rsid w:val="65FE2AFA"/>
    <w:rsid w:val="65FF2BD8"/>
    <w:rsid w:val="660A0DA1"/>
    <w:rsid w:val="66293A88"/>
    <w:rsid w:val="662F73D2"/>
    <w:rsid w:val="663B0040"/>
    <w:rsid w:val="663B4357"/>
    <w:rsid w:val="664A3019"/>
    <w:rsid w:val="664C3FFB"/>
    <w:rsid w:val="66536D6C"/>
    <w:rsid w:val="66570F9C"/>
    <w:rsid w:val="666536E7"/>
    <w:rsid w:val="668138C4"/>
    <w:rsid w:val="6683763C"/>
    <w:rsid w:val="66894E33"/>
    <w:rsid w:val="66925AD1"/>
    <w:rsid w:val="6692787F"/>
    <w:rsid w:val="66981DCA"/>
    <w:rsid w:val="66A6332B"/>
    <w:rsid w:val="66AD290B"/>
    <w:rsid w:val="66B141AA"/>
    <w:rsid w:val="66B15F58"/>
    <w:rsid w:val="66B75E25"/>
    <w:rsid w:val="66BE2423"/>
    <w:rsid w:val="66CB4B3F"/>
    <w:rsid w:val="66D25ECE"/>
    <w:rsid w:val="66DA3E7F"/>
    <w:rsid w:val="66DB07F8"/>
    <w:rsid w:val="66DB1226"/>
    <w:rsid w:val="66DC53F8"/>
    <w:rsid w:val="66E156BA"/>
    <w:rsid w:val="66E40ABA"/>
    <w:rsid w:val="66EF4CD2"/>
    <w:rsid w:val="66F059E0"/>
    <w:rsid w:val="670051A1"/>
    <w:rsid w:val="670E06F1"/>
    <w:rsid w:val="67122733"/>
    <w:rsid w:val="67151B91"/>
    <w:rsid w:val="671B6DE7"/>
    <w:rsid w:val="672069F1"/>
    <w:rsid w:val="67287546"/>
    <w:rsid w:val="672A6CF8"/>
    <w:rsid w:val="672E668C"/>
    <w:rsid w:val="67381006"/>
    <w:rsid w:val="67397CFB"/>
    <w:rsid w:val="673E6667"/>
    <w:rsid w:val="674768BC"/>
    <w:rsid w:val="67487190"/>
    <w:rsid w:val="674C5214"/>
    <w:rsid w:val="67565CB2"/>
    <w:rsid w:val="67577EB7"/>
    <w:rsid w:val="675C5BD4"/>
    <w:rsid w:val="67650AF0"/>
    <w:rsid w:val="6773320D"/>
    <w:rsid w:val="67786D92"/>
    <w:rsid w:val="67801DCE"/>
    <w:rsid w:val="67896ED4"/>
    <w:rsid w:val="678C0773"/>
    <w:rsid w:val="678F0D08"/>
    <w:rsid w:val="679501D9"/>
    <w:rsid w:val="67963BF2"/>
    <w:rsid w:val="67965286"/>
    <w:rsid w:val="67A61834"/>
    <w:rsid w:val="67AA29A7"/>
    <w:rsid w:val="67AB0BF9"/>
    <w:rsid w:val="67B37AAD"/>
    <w:rsid w:val="67B524DA"/>
    <w:rsid w:val="67B622AA"/>
    <w:rsid w:val="67BF434E"/>
    <w:rsid w:val="67C2339D"/>
    <w:rsid w:val="67C96A71"/>
    <w:rsid w:val="67D31797"/>
    <w:rsid w:val="67D4684D"/>
    <w:rsid w:val="67E75850"/>
    <w:rsid w:val="67E86B16"/>
    <w:rsid w:val="67E934CF"/>
    <w:rsid w:val="67EB6D87"/>
    <w:rsid w:val="67EE1A1B"/>
    <w:rsid w:val="67EE249C"/>
    <w:rsid w:val="67F94139"/>
    <w:rsid w:val="67FA42E1"/>
    <w:rsid w:val="67FE2C54"/>
    <w:rsid w:val="68002010"/>
    <w:rsid w:val="68016A6B"/>
    <w:rsid w:val="68027B41"/>
    <w:rsid w:val="68055769"/>
    <w:rsid w:val="6808604B"/>
    <w:rsid w:val="68096B78"/>
    <w:rsid w:val="680C3BF7"/>
    <w:rsid w:val="680E0E9A"/>
    <w:rsid w:val="68150290"/>
    <w:rsid w:val="681B505B"/>
    <w:rsid w:val="681D3FA7"/>
    <w:rsid w:val="68295FC1"/>
    <w:rsid w:val="68297D70"/>
    <w:rsid w:val="683010FE"/>
    <w:rsid w:val="68396F48"/>
    <w:rsid w:val="683B7FAB"/>
    <w:rsid w:val="68541290"/>
    <w:rsid w:val="6862683A"/>
    <w:rsid w:val="68664B20"/>
    <w:rsid w:val="68695A08"/>
    <w:rsid w:val="686D4100"/>
    <w:rsid w:val="68702BE9"/>
    <w:rsid w:val="68706C4B"/>
    <w:rsid w:val="6880582C"/>
    <w:rsid w:val="68817BAC"/>
    <w:rsid w:val="688A5CDF"/>
    <w:rsid w:val="688D6550"/>
    <w:rsid w:val="688D7A98"/>
    <w:rsid w:val="689A7B02"/>
    <w:rsid w:val="689F0032"/>
    <w:rsid w:val="68A043E1"/>
    <w:rsid w:val="68A40C23"/>
    <w:rsid w:val="68AB6C84"/>
    <w:rsid w:val="68B92565"/>
    <w:rsid w:val="68BC5644"/>
    <w:rsid w:val="68BE495C"/>
    <w:rsid w:val="68CF159A"/>
    <w:rsid w:val="68D02132"/>
    <w:rsid w:val="68E85E7D"/>
    <w:rsid w:val="68ED619D"/>
    <w:rsid w:val="68F13F37"/>
    <w:rsid w:val="6908207B"/>
    <w:rsid w:val="690A1236"/>
    <w:rsid w:val="690E2F0B"/>
    <w:rsid w:val="690E5B74"/>
    <w:rsid w:val="69133A5B"/>
    <w:rsid w:val="69170032"/>
    <w:rsid w:val="6917406C"/>
    <w:rsid w:val="691D4057"/>
    <w:rsid w:val="692204E0"/>
    <w:rsid w:val="6922392B"/>
    <w:rsid w:val="692D023C"/>
    <w:rsid w:val="692D4614"/>
    <w:rsid w:val="69363ABC"/>
    <w:rsid w:val="69436DCF"/>
    <w:rsid w:val="69546C02"/>
    <w:rsid w:val="695B3D09"/>
    <w:rsid w:val="69623539"/>
    <w:rsid w:val="696372B1"/>
    <w:rsid w:val="69662C2F"/>
    <w:rsid w:val="69692B1A"/>
    <w:rsid w:val="69756FD1"/>
    <w:rsid w:val="69766045"/>
    <w:rsid w:val="69780FAF"/>
    <w:rsid w:val="698471C6"/>
    <w:rsid w:val="698B31D9"/>
    <w:rsid w:val="698D0714"/>
    <w:rsid w:val="698D26AB"/>
    <w:rsid w:val="698E2958"/>
    <w:rsid w:val="69977A8C"/>
    <w:rsid w:val="69A16CFA"/>
    <w:rsid w:val="69AB1384"/>
    <w:rsid w:val="69B502E5"/>
    <w:rsid w:val="69BF4C22"/>
    <w:rsid w:val="69C77840"/>
    <w:rsid w:val="69DA2F1E"/>
    <w:rsid w:val="69DB5695"/>
    <w:rsid w:val="69DC5258"/>
    <w:rsid w:val="69F24403"/>
    <w:rsid w:val="69F34AD9"/>
    <w:rsid w:val="69FA6F0D"/>
    <w:rsid w:val="69FC1E52"/>
    <w:rsid w:val="6A020035"/>
    <w:rsid w:val="6A12389E"/>
    <w:rsid w:val="6A154662"/>
    <w:rsid w:val="6A16085A"/>
    <w:rsid w:val="6A163749"/>
    <w:rsid w:val="6A1E3383"/>
    <w:rsid w:val="6A201BA5"/>
    <w:rsid w:val="6A211646"/>
    <w:rsid w:val="6A274783"/>
    <w:rsid w:val="6A3772F4"/>
    <w:rsid w:val="6A393495"/>
    <w:rsid w:val="6A3B375C"/>
    <w:rsid w:val="6A4313F3"/>
    <w:rsid w:val="6A47002C"/>
    <w:rsid w:val="6A5B386A"/>
    <w:rsid w:val="6A5B4B60"/>
    <w:rsid w:val="6A5C0800"/>
    <w:rsid w:val="6A620AF5"/>
    <w:rsid w:val="6A6257BB"/>
    <w:rsid w:val="6A6D1A90"/>
    <w:rsid w:val="6A6D4CC9"/>
    <w:rsid w:val="6A7A2776"/>
    <w:rsid w:val="6A890F99"/>
    <w:rsid w:val="6A8F4802"/>
    <w:rsid w:val="6A933BC6"/>
    <w:rsid w:val="6A9516EC"/>
    <w:rsid w:val="6A960E91"/>
    <w:rsid w:val="6A963A88"/>
    <w:rsid w:val="6A9754AC"/>
    <w:rsid w:val="6A9909E2"/>
    <w:rsid w:val="6AA47B81"/>
    <w:rsid w:val="6AA85E77"/>
    <w:rsid w:val="6AAF1AEC"/>
    <w:rsid w:val="6AB14817"/>
    <w:rsid w:val="6AB44268"/>
    <w:rsid w:val="6AB830E4"/>
    <w:rsid w:val="6AC236CD"/>
    <w:rsid w:val="6AC344AB"/>
    <w:rsid w:val="6AD16ECB"/>
    <w:rsid w:val="6AD519BD"/>
    <w:rsid w:val="6AD779A5"/>
    <w:rsid w:val="6AD946CE"/>
    <w:rsid w:val="6ADE2267"/>
    <w:rsid w:val="6ADE5F45"/>
    <w:rsid w:val="6AE43339"/>
    <w:rsid w:val="6AE605AD"/>
    <w:rsid w:val="6AED32D6"/>
    <w:rsid w:val="6AF44C65"/>
    <w:rsid w:val="6AF518C9"/>
    <w:rsid w:val="6AF52F57"/>
    <w:rsid w:val="6B040620"/>
    <w:rsid w:val="6B053009"/>
    <w:rsid w:val="6B0B19AE"/>
    <w:rsid w:val="6B1168AC"/>
    <w:rsid w:val="6B1D2776"/>
    <w:rsid w:val="6B247A3B"/>
    <w:rsid w:val="6B2D7B77"/>
    <w:rsid w:val="6B306D7C"/>
    <w:rsid w:val="6B360E4B"/>
    <w:rsid w:val="6B4D0219"/>
    <w:rsid w:val="6B4D1339"/>
    <w:rsid w:val="6B607F4C"/>
    <w:rsid w:val="6B6712DB"/>
    <w:rsid w:val="6B6A3F97"/>
    <w:rsid w:val="6B6B2325"/>
    <w:rsid w:val="6B6B3E0C"/>
    <w:rsid w:val="6B715CB5"/>
    <w:rsid w:val="6B7178FD"/>
    <w:rsid w:val="6B7B4D86"/>
    <w:rsid w:val="6B8735D3"/>
    <w:rsid w:val="6B87372B"/>
    <w:rsid w:val="6B9320D0"/>
    <w:rsid w:val="6B9E2823"/>
    <w:rsid w:val="6BAD3693"/>
    <w:rsid w:val="6BAE18B0"/>
    <w:rsid w:val="6BAE6F0A"/>
    <w:rsid w:val="6BC04E8F"/>
    <w:rsid w:val="6BC57DAD"/>
    <w:rsid w:val="6BCA7080"/>
    <w:rsid w:val="6BCE3108"/>
    <w:rsid w:val="6BD23617"/>
    <w:rsid w:val="6BD61FBC"/>
    <w:rsid w:val="6BD83F86"/>
    <w:rsid w:val="6BDA143F"/>
    <w:rsid w:val="6BDA6C45"/>
    <w:rsid w:val="6BDF70C3"/>
    <w:rsid w:val="6BF32B6E"/>
    <w:rsid w:val="6BF5298E"/>
    <w:rsid w:val="6C0A7D99"/>
    <w:rsid w:val="6C0E1756"/>
    <w:rsid w:val="6C185D02"/>
    <w:rsid w:val="6C1D44C8"/>
    <w:rsid w:val="6C210B50"/>
    <w:rsid w:val="6C211EB6"/>
    <w:rsid w:val="6C262F44"/>
    <w:rsid w:val="6C2C2819"/>
    <w:rsid w:val="6C2D4457"/>
    <w:rsid w:val="6C2E0E9A"/>
    <w:rsid w:val="6C2E112B"/>
    <w:rsid w:val="6C301EB9"/>
    <w:rsid w:val="6C3B107F"/>
    <w:rsid w:val="6C3B62C3"/>
    <w:rsid w:val="6C3E1F20"/>
    <w:rsid w:val="6C414727"/>
    <w:rsid w:val="6C4A61A6"/>
    <w:rsid w:val="6C4B6506"/>
    <w:rsid w:val="6C506BE1"/>
    <w:rsid w:val="6C5123EF"/>
    <w:rsid w:val="6C536BC3"/>
    <w:rsid w:val="6C5F0204"/>
    <w:rsid w:val="6C636971"/>
    <w:rsid w:val="6C682561"/>
    <w:rsid w:val="6C685B6C"/>
    <w:rsid w:val="6C6A04D6"/>
    <w:rsid w:val="6C726189"/>
    <w:rsid w:val="6C7373BD"/>
    <w:rsid w:val="6C755C79"/>
    <w:rsid w:val="6C7927AD"/>
    <w:rsid w:val="6C841A18"/>
    <w:rsid w:val="6C8524E7"/>
    <w:rsid w:val="6C8B4E44"/>
    <w:rsid w:val="6C8E61E8"/>
    <w:rsid w:val="6C8E6354"/>
    <w:rsid w:val="6C8F15FE"/>
    <w:rsid w:val="6C8F3E60"/>
    <w:rsid w:val="6C8F5C19"/>
    <w:rsid w:val="6C9F6852"/>
    <w:rsid w:val="6CA36342"/>
    <w:rsid w:val="6CB00A5F"/>
    <w:rsid w:val="6CB542C8"/>
    <w:rsid w:val="6CBA26E1"/>
    <w:rsid w:val="6CBC7404"/>
    <w:rsid w:val="6CBE13CE"/>
    <w:rsid w:val="6CBE317C"/>
    <w:rsid w:val="6CCB7647"/>
    <w:rsid w:val="6CD209D6"/>
    <w:rsid w:val="6CD828F6"/>
    <w:rsid w:val="6CE83A57"/>
    <w:rsid w:val="6CE92DBE"/>
    <w:rsid w:val="6CE92FDA"/>
    <w:rsid w:val="6CEB45B8"/>
    <w:rsid w:val="6CEB5F3B"/>
    <w:rsid w:val="6CF042DA"/>
    <w:rsid w:val="6CF7668E"/>
    <w:rsid w:val="6CFC3CA5"/>
    <w:rsid w:val="6CFC474F"/>
    <w:rsid w:val="6CFC5A53"/>
    <w:rsid w:val="6CFE5C6F"/>
    <w:rsid w:val="6D062D75"/>
    <w:rsid w:val="6D0B213A"/>
    <w:rsid w:val="6D111205"/>
    <w:rsid w:val="6D1E654E"/>
    <w:rsid w:val="6D1F36C1"/>
    <w:rsid w:val="6D2232F1"/>
    <w:rsid w:val="6D225481"/>
    <w:rsid w:val="6D253377"/>
    <w:rsid w:val="6D286848"/>
    <w:rsid w:val="6D337243"/>
    <w:rsid w:val="6D371181"/>
    <w:rsid w:val="6D374CDD"/>
    <w:rsid w:val="6D561607"/>
    <w:rsid w:val="6D57537F"/>
    <w:rsid w:val="6D5A1B02"/>
    <w:rsid w:val="6D5B25FB"/>
    <w:rsid w:val="6D5D0EE3"/>
    <w:rsid w:val="6D633D24"/>
    <w:rsid w:val="6D6A6E60"/>
    <w:rsid w:val="6D6D6950"/>
    <w:rsid w:val="6D6E2B20"/>
    <w:rsid w:val="6D7204D3"/>
    <w:rsid w:val="6D865779"/>
    <w:rsid w:val="6D8D2E7C"/>
    <w:rsid w:val="6D9263B7"/>
    <w:rsid w:val="6D973BFC"/>
    <w:rsid w:val="6D9D5488"/>
    <w:rsid w:val="6DA265FA"/>
    <w:rsid w:val="6DA348DB"/>
    <w:rsid w:val="6DB4314B"/>
    <w:rsid w:val="6DB462C9"/>
    <w:rsid w:val="6DB8230A"/>
    <w:rsid w:val="6DB87D30"/>
    <w:rsid w:val="6DBB2F75"/>
    <w:rsid w:val="6DC02F24"/>
    <w:rsid w:val="6DCE5928"/>
    <w:rsid w:val="6DD32718"/>
    <w:rsid w:val="6DD8184E"/>
    <w:rsid w:val="6DDB1B0C"/>
    <w:rsid w:val="6DE274C4"/>
    <w:rsid w:val="6DE502F1"/>
    <w:rsid w:val="6DE73EA1"/>
    <w:rsid w:val="6DEB673E"/>
    <w:rsid w:val="6DEB7FF9"/>
    <w:rsid w:val="6DED67CC"/>
    <w:rsid w:val="6DF105D3"/>
    <w:rsid w:val="6DF56252"/>
    <w:rsid w:val="6E113954"/>
    <w:rsid w:val="6E177155"/>
    <w:rsid w:val="6E195507"/>
    <w:rsid w:val="6E1D3ED3"/>
    <w:rsid w:val="6E2711F5"/>
    <w:rsid w:val="6E2C32CE"/>
    <w:rsid w:val="6E2E7E8E"/>
    <w:rsid w:val="6E325050"/>
    <w:rsid w:val="6E470CC5"/>
    <w:rsid w:val="6E48743D"/>
    <w:rsid w:val="6E4B6C92"/>
    <w:rsid w:val="6E570E52"/>
    <w:rsid w:val="6E587601"/>
    <w:rsid w:val="6E5C35A3"/>
    <w:rsid w:val="6E66049C"/>
    <w:rsid w:val="6E671CA1"/>
    <w:rsid w:val="6E681920"/>
    <w:rsid w:val="6E6B10E2"/>
    <w:rsid w:val="6E6C6D1B"/>
    <w:rsid w:val="6E7004A6"/>
    <w:rsid w:val="6E7E3AD8"/>
    <w:rsid w:val="6E832629"/>
    <w:rsid w:val="6E8421A4"/>
    <w:rsid w:val="6E893690"/>
    <w:rsid w:val="6E930639"/>
    <w:rsid w:val="6E9A3775"/>
    <w:rsid w:val="6EA6036C"/>
    <w:rsid w:val="6EA81F29"/>
    <w:rsid w:val="6EA94757"/>
    <w:rsid w:val="6EAB6443"/>
    <w:rsid w:val="6EAC5256"/>
    <w:rsid w:val="6EAF2D9B"/>
    <w:rsid w:val="6EB56801"/>
    <w:rsid w:val="6EB82D83"/>
    <w:rsid w:val="6EC16F54"/>
    <w:rsid w:val="6EC561E4"/>
    <w:rsid w:val="6EC8669F"/>
    <w:rsid w:val="6ECD747A"/>
    <w:rsid w:val="6ECE14D2"/>
    <w:rsid w:val="6ED06A20"/>
    <w:rsid w:val="6ED75C5F"/>
    <w:rsid w:val="6EDC5B3C"/>
    <w:rsid w:val="6EEB3CB5"/>
    <w:rsid w:val="6EEB3FD1"/>
    <w:rsid w:val="6EF16B28"/>
    <w:rsid w:val="6F046E40"/>
    <w:rsid w:val="6F1277AF"/>
    <w:rsid w:val="6F286FD3"/>
    <w:rsid w:val="6F2B1F97"/>
    <w:rsid w:val="6F2B5142"/>
    <w:rsid w:val="6F2F5375"/>
    <w:rsid w:val="6F322F59"/>
    <w:rsid w:val="6F343BCA"/>
    <w:rsid w:val="6F40431D"/>
    <w:rsid w:val="6F416C8D"/>
    <w:rsid w:val="6F5F22BE"/>
    <w:rsid w:val="6F6238C3"/>
    <w:rsid w:val="6F655B31"/>
    <w:rsid w:val="6F6A3B50"/>
    <w:rsid w:val="6F6C0C0D"/>
    <w:rsid w:val="6F7044D6"/>
    <w:rsid w:val="6F777CA5"/>
    <w:rsid w:val="6F89202D"/>
    <w:rsid w:val="6F912DCA"/>
    <w:rsid w:val="6F995684"/>
    <w:rsid w:val="6F9B133F"/>
    <w:rsid w:val="6F9C2754"/>
    <w:rsid w:val="6F9F41A0"/>
    <w:rsid w:val="6FA333D9"/>
    <w:rsid w:val="6FA348AB"/>
    <w:rsid w:val="6FA946BF"/>
    <w:rsid w:val="6FAD3267"/>
    <w:rsid w:val="6FB23E44"/>
    <w:rsid w:val="6FB97C2B"/>
    <w:rsid w:val="6FBF710B"/>
    <w:rsid w:val="6FC14D32"/>
    <w:rsid w:val="6FC46C96"/>
    <w:rsid w:val="6FC8577E"/>
    <w:rsid w:val="6FCD36D6"/>
    <w:rsid w:val="6FD40F09"/>
    <w:rsid w:val="6FD44A65"/>
    <w:rsid w:val="6FD62C70"/>
    <w:rsid w:val="6FDF2AA8"/>
    <w:rsid w:val="6FE62589"/>
    <w:rsid w:val="6FE86762"/>
    <w:rsid w:val="6FE90A65"/>
    <w:rsid w:val="6FEE36EE"/>
    <w:rsid w:val="6FF173C5"/>
    <w:rsid w:val="6FFB6EEE"/>
    <w:rsid w:val="6FFF1655"/>
    <w:rsid w:val="700C6B99"/>
    <w:rsid w:val="70194E85"/>
    <w:rsid w:val="701A692C"/>
    <w:rsid w:val="702D67B2"/>
    <w:rsid w:val="70422316"/>
    <w:rsid w:val="704C4F43"/>
    <w:rsid w:val="704F058F"/>
    <w:rsid w:val="7052689D"/>
    <w:rsid w:val="70553DF8"/>
    <w:rsid w:val="705901A3"/>
    <w:rsid w:val="705A2552"/>
    <w:rsid w:val="705C5B73"/>
    <w:rsid w:val="7064228D"/>
    <w:rsid w:val="70652AFC"/>
    <w:rsid w:val="70652E56"/>
    <w:rsid w:val="706B0D8E"/>
    <w:rsid w:val="70732B4F"/>
    <w:rsid w:val="7079392F"/>
    <w:rsid w:val="707C4949"/>
    <w:rsid w:val="707F3CC5"/>
    <w:rsid w:val="70810331"/>
    <w:rsid w:val="708110EF"/>
    <w:rsid w:val="70912956"/>
    <w:rsid w:val="7092153C"/>
    <w:rsid w:val="70970CFB"/>
    <w:rsid w:val="70975F44"/>
    <w:rsid w:val="709A5F19"/>
    <w:rsid w:val="709A7A5C"/>
    <w:rsid w:val="70A6101C"/>
    <w:rsid w:val="70A75995"/>
    <w:rsid w:val="70AE52B6"/>
    <w:rsid w:val="70AE6111"/>
    <w:rsid w:val="70B5528A"/>
    <w:rsid w:val="70B91F0B"/>
    <w:rsid w:val="70BD2226"/>
    <w:rsid w:val="70C04FE9"/>
    <w:rsid w:val="70C05CF7"/>
    <w:rsid w:val="70C42D2B"/>
    <w:rsid w:val="70C45E9D"/>
    <w:rsid w:val="70C64CF5"/>
    <w:rsid w:val="70EA7F1C"/>
    <w:rsid w:val="70F35A8C"/>
    <w:rsid w:val="710515E2"/>
    <w:rsid w:val="71072C18"/>
    <w:rsid w:val="71177E75"/>
    <w:rsid w:val="711D41EA"/>
    <w:rsid w:val="712268CE"/>
    <w:rsid w:val="71257C6E"/>
    <w:rsid w:val="7127313A"/>
    <w:rsid w:val="712B6906"/>
    <w:rsid w:val="712D2430"/>
    <w:rsid w:val="712E63F7"/>
    <w:rsid w:val="71326A74"/>
    <w:rsid w:val="713E3C1C"/>
    <w:rsid w:val="7150007B"/>
    <w:rsid w:val="71551BD5"/>
    <w:rsid w:val="715B31D5"/>
    <w:rsid w:val="716D2610"/>
    <w:rsid w:val="716E4471"/>
    <w:rsid w:val="71744751"/>
    <w:rsid w:val="717958C4"/>
    <w:rsid w:val="717E6BF3"/>
    <w:rsid w:val="71883D59"/>
    <w:rsid w:val="718A62D9"/>
    <w:rsid w:val="7190292F"/>
    <w:rsid w:val="71903220"/>
    <w:rsid w:val="71916178"/>
    <w:rsid w:val="71940950"/>
    <w:rsid w:val="71973F9C"/>
    <w:rsid w:val="719941B8"/>
    <w:rsid w:val="71994680"/>
    <w:rsid w:val="719A3A8C"/>
    <w:rsid w:val="719B5D7C"/>
    <w:rsid w:val="719E08E7"/>
    <w:rsid w:val="719E770A"/>
    <w:rsid w:val="71A17BD5"/>
    <w:rsid w:val="71A642B7"/>
    <w:rsid w:val="71A96243"/>
    <w:rsid w:val="71AC17AB"/>
    <w:rsid w:val="71AE2849"/>
    <w:rsid w:val="71B0679E"/>
    <w:rsid w:val="71B15702"/>
    <w:rsid w:val="71B42DA0"/>
    <w:rsid w:val="71BC4810"/>
    <w:rsid w:val="71C34D91"/>
    <w:rsid w:val="71C45F06"/>
    <w:rsid w:val="71D64AC4"/>
    <w:rsid w:val="71D64AF9"/>
    <w:rsid w:val="71DC5E53"/>
    <w:rsid w:val="71DE7E1D"/>
    <w:rsid w:val="71E92CED"/>
    <w:rsid w:val="71EA0570"/>
    <w:rsid w:val="71ED0060"/>
    <w:rsid w:val="71F034D4"/>
    <w:rsid w:val="71FE401B"/>
    <w:rsid w:val="71FE634A"/>
    <w:rsid w:val="720755A4"/>
    <w:rsid w:val="720C33E7"/>
    <w:rsid w:val="72102590"/>
    <w:rsid w:val="72207836"/>
    <w:rsid w:val="72221C5C"/>
    <w:rsid w:val="722242F3"/>
    <w:rsid w:val="72231CD3"/>
    <w:rsid w:val="72261B09"/>
    <w:rsid w:val="72293534"/>
    <w:rsid w:val="722A105D"/>
    <w:rsid w:val="722E6720"/>
    <w:rsid w:val="723932A5"/>
    <w:rsid w:val="723E08BB"/>
    <w:rsid w:val="724D0647"/>
    <w:rsid w:val="724F1304"/>
    <w:rsid w:val="72514A93"/>
    <w:rsid w:val="72550F54"/>
    <w:rsid w:val="725C3ABF"/>
    <w:rsid w:val="726211D6"/>
    <w:rsid w:val="726242D7"/>
    <w:rsid w:val="72640322"/>
    <w:rsid w:val="726E11A1"/>
    <w:rsid w:val="726E7995"/>
    <w:rsid w:val="727E21D4"/>
    <w:rsid w:val="7298446F"/>
    <w:rsid w:val="729C3F60"/>
    <w:rsid w:val="729C496F"/>
    <w:rsid w:val="72AE22B1"/>
    <w:rsid w:val="72B172DF"/>
    <w:rsid w:val="72BD5C84"/>
    <w:rsid w:val="72BF39B8"/>
    <w:rsid w:val="72C2329A"/>
    <w:rsid w:val="72CC3FFF"/>
    <w:rsid w:val="72D11D6D"/>
    <w:rsid w:val="72D44095"/>
    <w:rsid w:val="72D52FCE"/>
    <w:rsid w:val="72D73447"/>
    <w:rsid w:val="72DB0B26"/>
    <w:rsid w:val="72DD2F0C"/>
    <w:rsid w:val="72E87297"/>
    <w:rsid w:val="72EE5E3E"/>
    <w:rsid w:val="72EF0BE8"/>
    <w:rsid w:val="72FA5A91"/>
    <w:rsid w:val="73021BC6"/>
    <w:rsid w:val="730560A1"/>
    <w:rsid w:val="7307768B"/>
    <w:rsid w:val="730842D8"/>
    <w:rsid w:val="73125FD0"/>
    <w:rsid w:val="73133DB4"/>
    <w:rsid w:val="731D6723"/>
    <w:rsid w:val="732559E6"/>
    <w:rsid w:val="73334198"/>
    <w:rsid w:val="73353A6C"/>
    <w:rsid w:val="733777E5"/>
    <w:rsid w:val="733916D3"/>
    <w:rsid w:val="73397A01"/>
    <w:rsid w:val="733D6F22"/>
    <w:rsid w:val="733F1856"/>
    <w:rsid w:val="733F2B3D"/>
    <w:rsid w:val="73425269"/>
    <w:rsid w:val="7347462A"/>
    <w:rsid w:val="734E4B2E"/>
    <w:rsid w:val="734F561D"/>
    <w:rsid w:val="73573E97"/>
    <w:rsid w:val="735859AD"/>
    <w:rsid w:val="735A6B3A"/>
    <w:rsid w:val="735D1BB8"/>
    <w:rsid w:val="736A1DCD"/>
    <w:rsid w:val="736E62C4"/>
    <w:rsid w:val="736E686C"/>
    <w:rsid w:val="738159AC"/>
    <w:rsid w:val="73820D0D"/>
    <w:rsid w:val="73871B8E"/>
    <w:rsid w:val="73893F4F"/>
    <w:rsid w:val="73905F35"/>
    <w:rsid w:val="73952CB2"/>
    <w:rsid w:val="739C3664"/>
    <w:rsid w:val="739C697B"/>
    <w:rsid w:val="739D04DA"/>
    <w:rsid w:val="739F2326"/>
    <w:rsid w:val="739F5BF0"/>
    <w:rsid w:val="73A02439"/>
    <w:rsid w:val="73A40BF2"/>
    <w:rsid w:val="73A851FF"/>
    <w:rsid w:val="73B07597"/>
    <w:rsid w:val="73BC6BD6"/>
    <w:rsid w:val="73BE76E9"/>
    <w:rsid w:val="73CC21DF"/>
    <w:rsid w:val="73CF1136"/>
    <w:rsid w:val="73D14C3A"/>
    <w:rsid w:val="73D46B6E"/>
    <w:rsid w:val="73EA02F4"/>
    <w:rsid w:val="73F22CDB"/>
    <w:rsid w:val="73F76F74"/>
    <w:rsid w:val="73FD0756"/>
    <w:rsid w:val="7405474A"/>
    <w:rsid w:val="740B30CC"/>
    <w:rsid w:val="7416389E"/>
    <w:rsid w:val="741640A1"/>
    <w:rsid w:val="741C11AA"/>
    <w:rsid w:val="7425388C"/>
    <w:rsid w:val="74281833"/>
    <w:rsid w:val="742C1313"/>
    <w:rsid w:val="743152AE"/>
    <w:rsid w:val="74326B2C"/>
    <w:rsid w:val="744E7D54"/>
    <w:rsid w:val="744F42E2"/>
    <w:rsid w:val="7461643C"/>
    <w:rsid w:val="746723FF"/>
    <w:rsid w:val="74687E72"/>
    <w:rsid w:val="746A0EE8"/>
    <w:rsid w:val="746D2090"/>
    <w:rsid w:val="747223EF"/>
    <w:rsid w:val="74793E2D"/>
    <w:rsid w:val="747A5B5B"/>
    <w:rsid w:val="747B1953"/>
    <w:rsid w:val="747C746C"/>
    <w:rsid w:val="747D0FF7"/>
    <w:rsid w:val="748022B9"/>
    <w:rsid w:val="74904F62"/>
    <w:rsid w:val="74912C85"/>
    <w:rsid w:val="749266D3"/>
    <w:rsid w:val="749B0D35"/>
    <w:rsid w:val="749F7D37"/>
    <w:rsid w:val="74A82CF2"/>
    <w:rsid w:val="74AC09E2"/>
    <w:rsid w:val="74AC5FB0"/>
    <w:rsid w:val="74AF5AA0"/>
    <w:rsid w:val="74B55EC5"/>
    <w:rsid w:val="74B55F6C"/>
    <w:rsid w:val="74B706C6"/>
    <w:rsid w:val="74BE7B32"/>
    <w:rsid w:val="74BF5CE3"/>
    <w:rsid w:val="74C14349"/>
    <w:rsid w:val="74C257D4"/>
    <w:rsid w:val="74CA6436"/>
    <w:rsid w:val="74CC6652"/>
    <w:rsid w:val="74D27D80"/>
    <w:rsid w:val="74E220C3"/>
    <w:rsid w:val="750530D5"/>
    <w:rsid w:val="750951B1"/>
    <w:rsid w:val="750A45BB"/>
    <w:rsid w:val="750C2E93"/>
    <w:rsid w:val="750E0A19"/>
    <w:rsid w:val="751029E3"/>
    <w:rsid w:val="75124D12"/>
    <w:rsid w:val="75127B3F"/>
    <w:rsid w:val="75142490"/>
    <w:rsid w:val="751678CE"/>
    <w:rsid w:val="751B6D0F"/>
    <w:rsid w:val="751F09E5"/>
    <w:rsid w:val="7521074C"/>
    <w:rsid w:val="75287D2D"/>
    <w:rsid w:val="75297601"/>
    <w:rsid w:val="75383CE8"/>
    <w:rsid w:val="75392D43"/>
    <w:rsid w:val="75412B9C"/>
    <w:rsid w:val="75442F6E"/>
    <w:rsid w:val="75526B58"/>
    <w:rsid w:val="75614FED"/>
    <w:rsid w:val="75630D65"/>
    <w:rsid w:val="75655DE5"/>
    <w:rsid w:val="75662F46"/>
    <w:rsid w:val="757C1869"/>
    <w:rsid w:val="758967DF"/>
    <w:rsid w:val="758D7B90"/>
    <w:rsid w:val="759941EE"/>
    <w:rsid w:val="759E0C3E"/>
    <w:rsid w:val="75A241B6"/>
    <w:rsid w:val="75A70994"/>
    <w:rsid w:val="75A849CA"/>
    <w:rsid w:val="75AA22CF"/>
    <w:rsid w:val="75AA6872"/>
    <w:rsid w:val="75B275F6"/>
    <w:rsid w:val="75B769B0"/>
    <w:rsid w:val="75C15A8B"/>
    <w:rsid w:val="75C2790C"/>
    <w:rsid w:val="75C74194"/>
    <w:rsid w:val="75C82FEB"/>
    <w:rsid w:val="75D67789"/>
    <w:rsid w:val="75D965F7"/>
    <w:rsid w:val="75E83CBD"/>
    <w:rsid w:val="75F75951"/>
    <w:rsid w:val="75FC5BBA"/>
    <w:rsid w:val="760320FA"/>
    <w:rsid w:val="760D2A7F"/>
    <w:rsid w:val="7617658A"/>
    <w:rsid w:val="761D6AB0"/>
    <w:rsid w:val="762027B2"/>
    <w:rsid w:val="762345B3"/>
    <w:rsid w:val="76250680"/>
    <w:rsid w:val="76264900"/>
    <w:rsid w:val="7627073B"/>
    <w:rsid w:val="762B1157"/>
    <w:rsid w:val="762C144B"/>
    <w:rsid w:val="7634625D"/>
    <w:rsid w:val="76375277"/>
    <w:rsid w:val="76397F86"/>
    <w:rsid w:val="763A5427"/>
    <w:rsid w:val="763F5D3C"/>
    <w:rsid w:val="7642517C"/>
    <w:rsid w:val="76481D09"/>
    <w:rsid w:val="76490DEB"/>
    <w:rsid w:val="764C380A"/>
    <w:rsid w:val="76507CAD"/>
    <w:rsid w:val="76516E0F"/>
    <w:rsid w:val="765C3415"/>
    <w:rsid w:val="766962DF"/>
    <w:rsid w:val="766D0F5A"/>
    <w:rsid w:val="76724FD8"/>
    <w:rsid w:val="76760624"/>
    <w:rsid w:val="767A2648"/>
    <w:rsid w:val="76973F64"/>
    <w:rsid w:val="76A07D97"/>
    <w:rsid w:val="76A16263"/>
    <w:rsid w:val="76AA651F"/>
    <w:rsid w:val="76AE18E0"/>
    <w:rsid w:val="76AF522D"/>
    <w:rsid w:val="76B561A9"/>
    <w:rsid w:val="76B63116"/>
    <w:rsid w:val="76C27D0D"/>
    <w:rsid w:val="76C577FD"/>
    <w:rsid w:val="76DB516E"/>
    <w:rsid w:val="76EF6628"/>
    <w:rsid w:val="76F463B3"/>
    <w:rsid w:val="76FC45A8"/>
    <w:rsid w:val="77020109"/>
    <w:rsid w:val="7706409E"/>
    <w:rsid w:val="77073ED6"/>
    <w:rsid w:val="771D5167"/>
    <w:rsid w:val="77275DC2"/>
    <w:rsid w:val="77297D8C"/>
    <w:rsid w:val="772B5ADA"/>
    <w:rsid w:val="772F548F"/>
    <w:rsid w:val="77381D7D"/>
    <w:rsid w:val="773A78A3"/>
    <w:rsid w:val="7746449A"/>
    <w:rsid w:val="774909AD"/>
    <w:rsid w:val="774D3A7A"/>
    <w:rsid w:val="7756133A"/>
    <w:rsid w:val="775F062D"/>
    <w:rsid w:val="776112D4"/>
    <w:rsid w:val="776B0E21"/>
    <w:rsid w:val="777245B0"/>
    <w:rsid w:val="777728A5"/>
    <w:rsid w:val="77905715"/>
    <w:rsid w:val="7794440A"/>
    <w:rsid w:val="77962A41"/>
    <w:rsid w:val="77963F8B"/>
    <w:rsid w:val="779A6594"/>
    <w:rsid w:val="779E71C5"/>
    <w:rsid w:val="77A74297"/>
    <w:rsid w:val="77AD4A14"/>
    <w:rsid w:val="77AE203F"/>
    <w:rsid w:val="77BB64CC"/>
    <w:rsid w:val="77BD2D08"/>
    <w:rsid w:val="77BE04D4"/>
    <w:rsid w:val="77BE7F0B"/>
    <w:rsid w:val="77C96B2B"/>
    <w:rsid w:val="77CB0E43"/>
    <w:rsid w:val="77D61CBB"/>
    <w:rsid w:val="77D84571"/>
    <w:rsid w:val="77E11AA4"/>
    <w:rsid w:val="77E966DE"/>
    <w:rsid w:val="77F35A8D"/>
    <w:rsid w:val="77F47AAC"/>
    <w:rsid w:val="77FB60EE"/>
    <w:rsid w:val="78021921"/>
    <w:rsid w:val="78061E7B"/>
    <w:rsid w:val="781225CE"/>
    <w:rsid w:val="78141133"/>
    <w:rsid w:val="78146346"/>
    <w:rsid w:val="78175F43"/>
    <w:rsid w:val="782932E5"/>
    <w:rsid w:val="782A4D39"/>
    <w:rsid w:val="782D7408"/>
    <w:rsid w:val="78300CA6"/>
    <w:rsid w:val="78306EF8"/>
    <w:rsid w:val="783A3F2B"/>
    <w:rsid w:val="78412EB3"/>
    <w:rsid w:val="78434E7D"/>
    <w:rsid w:val="78462278"/>
    <w:rsid w:val="7846411E"/>
    <w:rsid w:val="78466C08"/>
    <w:rsid w:val="78472115"/>
    <w:rsid w:val="784C6A16"/>
    <w:rsid w:val="78540E39"/>
    <w:rsid w:val="78590327"/>
    <w:rsid w:val="78597F30"/>
    <w:rsid w:val="785D5F3F"/>
    <w:rsid w:val="7860158C"/>
    <w:rsid w:val="78616687"/>
    <w:rsid w:val="78623247"/>
    <w:rsid w:val="7863107C"/>
    <w:rsid w:val="78650950"/>
    <w:rsid w:val="786509A7"/>
    <w:rsid w:val="7866354D"/>
    <w:rsid w:val="78727350"/>
    <w:rsid w:val="787321C7"/>
    <w:rsid w:val="7880578A"/>
    <w:rsid w:val="788222F3"/>
    <w:rsid w:val="788435CF"/>
    <w:rsid w:val="788B01D8"/>
    <w:rsid w:val="78960636"/>
    <w:rsid w:val="78A551F0"/>
    <w:rsid w:val="78AA77ED"/>
    <w:rsid w:val="78B143BF"/>
    <w:rsid w:val="78B673FD"/>
    <w:rsid w:val="78BA4B92"/>
    <w:rsid w:val="78BB2C66"/>
    <w:rsid w:val="78C027E9"/>
    <w:rsid w:val="78C07087"/>
    <w:rsid w:val="78C137B1"/>
    <w:rsid w:val="78CA0004"/>
    <w:rsid w:val="78D855C6"/>
    <w:rsid w:val="78E201F2"/>
    <w:rsid w:val="78F157F6"/>
    <w:rsid w:val="78F42089"/>
    <w:rsid w:val="78FF034E"/>
    <w:rsid w:val="79027B09"/>
    <w:rsid w:val="79136FA6"/>
    <w:rsid w:val="79180B2D"/>
    <w:rsid w:val="792146F3"/>
    <w:rsid w:val="79222CE5"/>
    <w:rsid w:val="792551B9"/>
    <w:rsid w:val="792627D5"/>
    <w:rsid w:val="792F71B0"/>
    <w:rsid w:val="793769E5"/>
    <w:rsid w:val="79464C25"/>
    <w:rsid w:val="794C2198"/>
    <w:rsid w:val="794C38BE"/>
    <w:rsid w:val="79570BE0"/>
    <w:rsid w:val="795751DB"/>
    <w:rsid w:val="79647D98"/>
    <w:rsid w:val="79654980"/>
    <w:rsid w:val="79720B71"/>
    <w:rsid w:val="79785088"/>
    <w:rsid w:val="797F3E53"/>
    <w:rsid w:val="798554E7"/>
    <w:rsid w:val="798B6ADC"/>
    <w:rsid w:val="79A33E26"/>
    <w:rsid w:val="79A8363C"/>
    <w:rsid w:val="79AB466F"/>
    <w:rsid w:val="79AE4579"/>
    <w:rsid w:val="79B37DE1"/>
    <w:rsid w:val="79C1054F"/>
    <w:rsid w:val="79C56C60"/>
    <w:rsid w:val="79CB6BE8"/>
    <w:rsid w:val="79D02741"/>
    <w:rsid w:val="79D044EF"/>
    <w:rsid w:val="79D33FDF"/>
    <w:rsid w:val="79D74744"/>
    <w:rsid w:val="79ED7D0D"/>
    <w:rsid w:val="79F07621"/>
    <w:rsid w:val="79F364F0"/>
    <w:rsid w:val="79F75693"/>
    <w:rsid w:val="79FA196F"/>
    <w:rsid w:val="79FB496C"/>
    <w:rsid w:val="79FB76E7"/>
    <w:rsid w:val="7A135020"/>
    <w:rsid w:val="7A1F0FD2"/>
    <w:rsid w:val="7A284CDC"/>
    <w:rsid w:val="7A2D70A0"/>
    <w:rsid w:val="7A33053A"/>
    <w:rsid w:val="7A396538"/>
    <w:rsid w:val="7A430517"/>
    <w:rsid w:val="7A433E64"/>
    <w:rsid w:val="7A4343A5"/>
    <w:rsid w:val="7A5011E9"/>
    <w:rsid w:val="7A535BFE"/>
    <w:rsid w:val="7A5A5EF1"/>
    <w:rsid w:val="7A5D0164"/>
    <w:rsid w:val="7A5E1330"/>
    <w:rsid w:val="7A5E39A8"/>
    <w:rsid w:val="7A603AC5"/>
    <w:rsid w:val="7A6A4943"/>
    <w:rsid w:val="7A6B7D99"/>
    <w:rsid w:val="7A70182E"/>
    <w:rsid w:val="7A7B08FF"/>
    <w:rsid w:val="7A84029F"/>
    <w:rsid w:val="7A89174B"/>
    <w:rsid w:val="7A960FED"/>
    <w:rsid w:val="7A9C22DE"/>
    <w:rsid w:val="7A9C30D2"/>
    <w:rsid w:val="7AA34B04"/>
    <w:rsid w:val="7AA716F4"/>
    <w:rsid w:val="7AAA65A0"/>
    <w:rsid w:val="7AB61937"/>
    <w:rsid w:val="7AC7137D"/>
    <w:rsid w:val="7ACA3634"/>
    <w:rsid w:val="7AD14C83"/>
    <w:rsid w:val="7AD16771"/>
    <w:rsid w:val="7AD611F9"/>
    <w:rsid w:val="7ADB2B3E"/>
    <w:rsid w:val="7AE00762"/>
    <w:rsid w:val="7AE04460"/>
    <w:rsid w:val="7AE1748C"/>
    <w:rsid w:val="7AE24CA4"/>
    <w:rsid w:val="7AE77D42"/>
    <w:rsid w:val="7AF35DE8"/>
    <w:rsid w:val="7AF87A0A"/>
    <w:rsid w:val="7AF93C90"/>
    <w:rsid w:val="7AFD6CF6"/>
    <w:rsid w:val="7AFE5C00"/>
    <w:rsid w:val="7B0457FD"/>
    <w:rsid w:val="7B060CA1"/>
    <w:rsid w:val="7B103FAD"/>
    <w:rsid w:val="7B1B6E2A"/>
    <w:rsid w:val="7B3131CD"/>
    <w:rsid w:val="7B3C159C"/>
    <w:rsid w:val="7B3D3E06"/>
    <w:rsid w:val="7B3D5DD8"/>
    <w:rsid w:val="7B4F58E7"/>
    <w:rsid w:val="7B5744CB"/>
    <w:rsid w:val="7B5D72CB"/>
    <w:rsid w:val="7B6018A2"/>
    <w:rsid w:val="7B641393"/>
    <w:rsid w:val="7B6C46EB"/>
    <w:rsid w:val="7B762C45"/>
    <w:rsid w:val="7B892BA7"/>
    <w:rsid w:val="7B933A26"/>
    <w:rsid w:val="7B9A151D"/>
    <w:rsid w:val="7B9D5F3D"/>
    <w:rsid w:val="7B9E014B"/>
    <w:rsid w:val="7B9E361B"/>
    <w:rsid w:val="7BAC450B"/>
    <w:rsid w:val="7BB53B4F"/>
    <w:rsid w:val="7BC54CD9"/>
    <w:rsid w:val="7BCF3A79"/>
    <w:rsid w:val="7BD12A42"/>
    <w:rsid w:val="7BE44282"/>
    <w:rsid w:val="7BEB4136"/>
    <w:rsid w:val="7BF070CA"/>
    <w:rsid w:val="7BF54B72"/>
    <w:rsid w:val="7BF675CB"/>
    <w:rsid w:val="7C014E34"/>
    <w:rsid w:val="7C047377"/>
    <w:rsid w:val="7C0B5399"/>
    <w:rsid w:val="7C0B5E36"/>
    <w:rsid w:val="7C0E12FE"/>
    <w:rsid w:val="7C2E5E96"/>
    <w:rsid w:val="7C457BFC"/>
    <w:rsid w:val="7C46398A"/>
    <w:rsid w:val="7C492337"/>
    <w:rsid w:val="7C4D6876"/>
    <w:rsid w:val="7C535B79"/>
    <w:rsid w:val="7C594C70"/>
    <w:rsid w:val="7C5E2286"/>
    <w:rsid w:val="7C5E5DE2"/>
    <w:rsid w:val="7C601464"/>
    <w:rsid w:val="7C694787"/>
    <w:rsid w:val="7C6D24C9"/>
    <w:rsid w:val="7C715F90"/>
    <w:rsid w:val="7C7A1FDD"/>
    <w:rsid w:val="7C7B409B"/>
    <w:rsid w:val="7C7F0EF9"/>
    <w:rsid w:val="7C8415C1"/>
    <w:rsid w:val="7C896BD7"/>
    <w:rsid w:val="7C8C36EE"/>
    <w:rsid w:val="7CA3413D"/>
    <w:rsid w:val="7CAF0EAD"/>
    <w:rsid w:val="7CAF663E"/>
    <w:rsid w:val="7CB15D84"/>
    <w:rsid w:val="7CB579CC"/>
    <w:rsid w:val="7CBE4AD3"/>
    <w:rsid w:val="7CC3033B"/>
    <w:rsid w:val="7CC77E2B"/>
    <w:rsid w:val="7CCF6CE0"/>
    <w:rsid w:val="7CD90973"/>
    <w:rsid w:val="7CD97B5E"/>
    <w:rsid w:val="7CDD764F"/>
    <w:rsid w:val="7CE341FE"/>
    <w:rsid w:val="7CEE3283"/>
    <w:rsid w:val="7CEE781E"/>
    <w:rsid w:val="7CFD35E3"/>
    <w:rsid w:val="7D0270B5"/>
    <w:rsid w:val="7D080444"/>
    <w:rsid w:val="7D0837FA"/>
    <w:rsid w:val="7D0C46C5"/>
    <w:rsid w:val="7D0E5A5A"/>
    <w:rsid w:val="7D1239EC"/>
    <w:rsid w:val="7D133473"/>
    <w:rsid w:val="7D290ED4"/>
    <w:rsid w:val="7D341B54"/>
    <w:rsid w:val="7D3A656F"/>
    <w:rsid w:val="7D472D1A"/>
    <w:rsid w:val="7D4C49AE"/>
    <w:rsid w:val="7D4F1BCF"/>
    <w:rsid w:val="7D523631"/>
    <w:rsid w:val="7D567401"/>
    <w:rsid w:val="7D5D53D9"/>
    <w:rsid w:val="7D7A213C"/>
    <w:rsid w:val="7D80421D"/>
    <w:rsid w:val="7D854335"/>
    <w:rsid w:val="7D893333"/>
    <w:rsid w:val="7D911178"/>
    <w:rsid w:val="7D9121E7"/>
    <w:rsid w:val="7D970A69"/>
    <w:rsid w:val="7DA71010"/>
    <w:rsid w:val="7DA77C5D"/>
    <w:rsid w:val="7DB40130"/>
    <w:rsid w:val="7DBE4F88"/>
    <w:rsid w:val="7DBF4A67"/>
    <w:rsid w:val="7DC96C1E"/>
    <w:rsid w:val="7DCC1471"/>
    <w:rsid w:val="7DCE0977"/>
    <w:rsid w:val="7DD722F0"/>
    <w:rsid w:val="7DE05E4E"/>
    <w:rsid w:val="7DE133A2"/>
    <w:rsid w:val="7DE20C95"/>
    <w:rsid w:val="7DF509C8"/>
    <w:rsid w:val="7DF5450A"/>
    <w:rsid w:val="7DF70FC6"/>
    <w:rsid w:val="7DF804B8"/>
    <w:rsid w:val="7DF817B1"/>
    <w:rsid w:val="7DF84014"/>
    <w:rsid w:val="7E0B3FDB"/>
    <w:rsid w:val="7E1B6D74"/>
    <w:rsid w:val="7E21356B"/>
    <w:rsid w:val="7E2420FC"/>
    <w:rsid w:val="7E244884"/>
    <w:rsid w:val="7E2E588A"/>
    <w:rsid w:val="7E337838"/>
    <w:rsid w:val="7E36397C"/>
    <w:rsid w:val="7E3B69F7"/>
    <w:rsid w:val="7E403498"/>
    <w:rsid w:val="7E484F9C"/>
    <w:rsid w:val="7E4B2B40"/>
    <w:rsid w:val="7E4E5C75"/>
    <w:rsid w:val="7E5316BF"/>
    <w:rsid w:val="7E562BB9"/>
    <w:rsid w:val="7E5661A3"/>
    <w:rsid w:val="7E633B84"/>
    <w:rsid w:val="7E665422"/>
    <w:rsid w:val="7E6B0C8A"/>
    <w:rsid w:val="7E71642D"/>
    <w:rsid w:val="7E772E33"/>
    <w:rsid w:val="7E88183C"/>
    <w:rsid w:val="7E8B4E88"/>
    <w:rsid w:val="7E935870"/>
    <w:rsid w:val="7E9C52E7"/>
    <w:rsid w:val="7E9E2E0E"/>
    <w:rsid w:val="7EA87636"/>
    <w:rsid w:val="7EC16B18"/>
    <w:rsid w:val="7ED061DD"/>
    <w:rsid w:val="7ED35CB8"/>
    <w:rsid w:val="7ED71E7C"/>
    <w:rsid w:val="7EDA3515"/>
    <w:rsid w:val="7EE50A3C"/>
    <w:rsid w:val="7EE558E3"/>
    <w:rsid w:val="7EEA6053"/>
    <w:rsid w:val="7EFA5AC9"/>
    <w:rsid w:val="7EFD3A74"/>
    <w:rsid w:val="7EFF658F"/>
    <w:rsid w:val="7F0D56AA"/>
    <w:rsid w:val="7F1907CE"/>
    <w:rsid w:val="7F264BB1"/>
    <w:rsid w:val="7F300B27"/>
    <w:rsid w:val="7F332A2D"/>
    <w:rsid w:val="7F394F09"/>
    <w:rsid w:val="7F3C15F4"/>
    <w:rsid w:val="7F475253"/>
    <w:rsid w:val="7F52684E"/>
    <w:rsid w:val="7F533BF8"/>
    <w:rsid w:val="7F536BCA"/>
    <w:rsid w:val="7F596700"/>
    <w:rsid w:val="7F60126C"/>
    <w:rsid w:val="7F6439E7"/>
    <w:rsid w:val="7F6724F2"/>
    <w:rsid w:val="7F707E21"/>
    <w:rsid w:val="7F750199"/>
    <w:rsid w:val="7F7724CF"/>
    <w:rsid w:val="7F7F2C32"/>
    <w:rsid w:val="7F881E70"/>
    <w:rsid w:val="7F8A114A"/>
    <w:rsid w:val="7F934934"/>
    <w:rsid w:val="7F98785D"/>
    <w:rsid w:val="7FA02BB5"/>
    <w:rsid w:val="7FA36202"/>
    <w:rsid w:val="7FA426A6"/>
    <w:rsid w:val="7FA718BC"/>
    <w:rsid w:val="7FAB3A34"/>
    <w:rsid w:val="7FB62DAC"/>
    <w:rsid w:val="7FB961D9"/>
    <w:rsid w:val="7FC00B62"/>
    <w:rsid w:val="7FC164F8"/>
    <w:rsid w:val="7FC201D1"/>
    <w:rsid w:val="7FC22B2C"/>
    <w:rsid w:val="7FCA3B37"/>
    <w:rsid w:val="7FD87A08"/>
    <w:rsid w:val="7FDB59B4"/>
    <w:rsid w:val="7FDF0505"/>
    <w:rsid w:val="7FE102FE"/>
    <w:rsid w:val="7FEF1B49"/>
    <w:rsid w:val="7FF13E61"/>
    <w:rsid w:val="7FF73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autoRedefine/>
    <w:qFormat/>
    <w:uiPriority w:val="0"/>
    <w:pPr>
      <w:keepNext/>
      <w:keepLines/>
      <w:widowControl/>
      <w:spacing w:before="260" w:after="260" w:line="416" w:lineRule="auto"/>
      <w:jc w:val="left"/>
      <w:outlineLvl w:val="1"/>
    </w:pPr>
    <w:rPr>
      <w:rFonts w:ascii="Arial" w:hAnsi="Arial" w:eastAsia="黑体"/>
      <w:b/>
      <w:bCs/>
      <w:kern w:val="0"/>
      <w:sz w:val="32"/>
      <w:szCs w:val="32"/>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rPr>
      <w:lang w:val="zh-CN"/>
    </w:rPr>
  </w:style>
  <w:style w:type="paragraph" w:styleId="6">
    <w:name w:val="annotation text"/>
    <w:basedOn w:val="1"/>
    <w:unhideWhenUsed/>
    <w:qFormat/>
    <w:uiPriority w:val="99"/>
    <w:pPr>
      <w:jc w:val="left"/>
    </w:pPr>
  </w:style>
  <w:style w:type="paragraph" w:styleId="7">
    <w:name w:val="Body Text"/>
    <w:basedOn w:val="1"/>
    <w:next w:val="8"/>
    <w:autoRedefine/>
    <w:unhideWhenUsed/>
    <w:qFormat/>
    <w:uiPriority w:val="0"/>
    <w:pPr>
      <w:spacing w:after="120"/>
    </w:pPr>
    <w:rPr>
      <w:rFonts w:asciiTheme="minorHAnsi" w:hAnsiTheme="minorHAnsi" w:eastAsiaTheme="minorEastAsia" w:cstheme="minorBidi"/>
      <w:sz w:val="24"/>
    </w:rPr>
  </w:style>
  <w:style w:type="paragraph" w:styleId="8">
    <w:name w:val="Body Text First Indent"/>
    <w:basedOn w:val="7"/>
    <w:qFormat/>
    <w:uiPriority w:val="0"/>
    <w:pPr>
      <w:autoSpaceDE w:val="0"/>
      <w:autoSpaceDN w:val="0"/>
      <w:adjustRightInd w:val="0"/>
      <w:ind w:firstLine="420" w:firstLineChars="100"/>
      <w:jc w:val="left"/>
    </w:pPr>
    <w:rPr>
      <w:rFonts w:ascii="仿宋_GB2312" w:hAnsi="Times New Roman"/>
      <w:b/>
      <w:kern w:val="0"/>
      <w:sz w:val="32"/>
      <w:szCs w:val="32"/>
    </w:rPr>
  </w:style>
  <w:style w:type="paragraph" w:styleId="9">
    <w:name w:val="Body Text Indent"/>
    <w:basedOn w:val="1"/>
    <w:next w:val="10"/>
    <w:autoRedefine/>
    <w:qFormat/>
    <w:uiPriority w:val="99"/>
    <w:pPr>
      <w:spacing w:after="120"/>
      <w:ind w:left="420" w:leftChars="200"/>
    </w:pPr>
  </w:style>
  <w:style w:type="paragraph" w:styleId="10">
    <w:name w:val="annotation subject"/>
    <w:basedOn w:val="6"/>
    <w:next w:val="1"/>
    <w:autoRedefine/>
    <w:unhideWhenUsed/>
    <w:qFormat/>
    <w:uiPriority w:val="99"/>
    <w:rPr>
      <w:b/>
      <w:bCs/>
    </w:rPr>
  </w:style>
  <w:style w:type="paragraph" w:styleId="11">
    <w:name w:val="toc 3"/>
    <w:basedOn w:val="1"/>
    <w:next w:val="1"/>
    <w:qFormat/>
    <w:uiPriority w:val="0"/>
    <w:pPr>
      <w:ind w:left="840" w:leftChars="400"/>
    </w:pPr>
  </w:style>
  <w:style w:type="paragraph" w:styleId="12">
    <w:name w:val="footer"/>
    <w:basedOn w:val="1"/>
    <w:link w:val="25"/>
    <w:autoRedefine/>
    <w:qFormat/>
    <w:uiPriority w:val="0"/>
    <w:pPr>
      <w:tabs>
        <w:tab w:val="center" w:pos="4153"/>
        <w:tab w:val="right" w:pos="8306"/>
      </w:tabs>
      <w:snapToGrid w:val="0"/>
      <w:jc w:val="left"/>
    </w:pPr>
    <w:rPr>
      <w:sz w:val="18"/>
      <w:szCs w:val="18"/>
    </w:rPr>
  </w:style>
  <w:style w:type="paragraph" w:styleId="13">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left" w:pos="840"/>
        <w:tab w:val="right" w:leader="dot" w:pos="8296"/>
      </w:tabs>
      <w:spacing w:after="100" w:line="259" w:lineRule="auto"/>
      <w:jc w:val="center"/>
    </w:pPr>
    <w:rPr>
      <w:rFonts w:ascii="仿宋" w:hAnsi="仿宋" w:eastAsia="仿宋"/>
      <w:b/>
      <w:bCs/>
      <w:kern w:val="0"/>
      <w:sz w:val="36"/>
      <w:szCs w:val="36"/>
    </w:rPr>
  </w:style>
  <w:style w:type="paragraph" w:styleId="15">
    <w:name w:val="toc 2"/>
    <w:basedOn w:val="1"/>
    <w:next w:val="1"/>
    <w:autoRedefine/>
    <w:unhideWhenUsed/>
    <w:qFormat/>
    <w:uiPriority w:val="39"/>
    <w:pPr>
      <w:widowControl/>
      <w:spacing w:after="100" w:line="259" w:lineRule="auto"/>
      <w:ind w:left="220"/>
      <w:jc w:val="left"/>
    </w:pPr>
    <w:rPr>
      <w:kern w:val="0"/>
      <w:sz w:val="22"/>
    </w:rPr>
  </w:style>
  <w:style w:type="paragraph" w:styleId="16">
    <w:name w:val="Normal (Web)"/>
    <w:basedOn w:val="1"/>
    <w:autoRedefine/>
    <w:qFormat/>
    <w:uiPriority w:val="0"/>
    <w:pPr>
      <w:widowControl/>
      <w:spacing w:before="100" w:beforeAutospacing="1" w:after="119"/>
      <w:jc w:val="left"/>
    </w:pPr>
    <w:rPr>
      <w:rFonts w:ascii="宋体" w:hAnsi="宋体" w:cs="宋体"/>
      <w:kern w:val="0"/>
      <w:sz w:val="24"/>
    </w:rPr>
  </w:style>
  <w:style w:type="paragraph" w:styleId="17">
    <w:name w:val="Title"/>
    <w:basedOn w:val="1"/>
    <w:next w:val="1"/>
    <w:autoRedefine/>
    <w:qFormat/>
    <w:uiPriority w:val="0"/>
    <w:pPr>
      <w:spacing w:before="100" w:beforeAutospacing="1" w:after="100" w:afterAutospacing="1"/>
      <w:jc w:val="center"/>
      <w:outlineLvl w:val="0"/>
    </w:pPr>
    <w:rPr>
      <w:rFonts w:ascii="方正小标宋简体" w:eastAsia="方正小标宋简体"/>
      <w:b/>
      <w:bCs/>
      <w:sz w:val="44"/>
      <w:szCs w:val="32"/>
    </w:rPr>
  </w:style>
  <w:style w:type="paragraph" w:styleId="18">
    <w:name w:val="Body Text First Indent 2"/>
    <w:basedOn w:val="9"/>
    <w:next w:val="19"/>
    <w:autoRedefine/>
    <w:qFormat/>
    <w:uiPriority w:val="99"/>
    <w:pPr>
      <w:widowControl/>
      <w:spacing w:afterLines="100" w:line="360" w:lineRule="auto"/>
      <w:ind w:left="200" w:firstLine="210" w:firstLineChars="200"/>
      <w:jc w:val="left"/>
    </w:pPr>
    <w:rPr>
      <w:kern w:val="28"/>
      <w:sz w:val="24"/>
      <w:szCs w:val="24"/>
      <w:lang w:val="zh-CN"/>
    </w:rPr>
  </w:style>
  <w:style w:type="paragraph" w:customStyle="1" w:styleId="19">
    <w:name w:val="正文1"/>
    <w:basedOn w:val="1"/>
    <w:autoRedefine/>
    <w:qFormat/>
    <w:uiPriority w:val="0"/>
    <w:pPr>
      <w:spacing w:line="360" w:lineRule="auto"/>
      <w:ind w:firstLine="480" w:firstLineChars="200"/>
    </w:pPr>
    <w:rPr>
      <w:sz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bCs/>
    </w:rPr>
  </w:style>
  <w:style w:type="character" w:customStyle="1" w:styleId="24">
    <w:name w:val="页眉 Char"/>
    <w:basedOn w:val="22"/>
    <w:link w:val="13"/>
    <w:autoRedefine/>
    <w:qFormat/>
    <w:uiPriority w:val="0"/>
    <w:rPr>
      <w:rFonts w:ascii="Times New Roman" w:hAnsi="Times New Roman" w:eastAsia="宋体" w:cs="Times New Roman"/>
      <w:kern w:val="2"/>
      <w:sz w:val="18"/>
      <w:szCs w:val="18"/>
    </w:rPr>
  </w:style>
  <w:style w:type="character" w:customStyle="1" w:styleId="25">
    <w:name w:val="页脚 Char"/>
    <w:basedOn w:val="22"/>
    <w:link w:val="12"/>
    <w:autoRedefine/>
    <w:qFormat/>
    <w:uiPriority w:val="0"/>
    <w:rPr>
      <w:rFonts w:ascii="Times New Roman" w:hAnsi="Times New Roman" w:eastAsia="宋体" w:cs="Times New Roman"/>
      <w:kern w:val="2"/>
      <w:sz w:val="18"/>
      <w:szCs w:val="18"/>
    </w:rPr>
  </w:style>
  <w:style w:type="character" w:customStyle="1" w:styleId="26">
    <w:name w:val="标题 1 Char"/>
    <w:basedOn w:val="22"/>
    <w:link w:val="3"/>
    <w:autoRedefine/>
    <w:qFormat/>
    <w:uiPriority w:val="9"/>
    <w:rPr>
      <w:b/>
      <w:bCs/>
      <w:kern w:val="44"/>
      <w:sz w:val="44"/>
      <w:szCs w:val="44"/>
    </w:rPr>
  </w:style>
  <w:style w:type="paragraph" w:styleId="27">
    <w:name w:val="List Paragraph"/>
    <w:basedOn w:val="1"/>
    <w:autoRedefine/>
    <w:unhideWhenUsed/>
    <w:qFormat/>
    <w:uiPriority w:val="99"/>
    <w:pPr>
      <w:ind w:firstLine="420" w:firstLineChars="200"/>
    </w:pPr>
  </w:style>
  <w:style w:type="character" w:customStyle="1" w:styleId="28">
    <w:name w:val="font11"/>
    <w:basedOn w:val="22"/>
    <w:autoRedefine/>
    <w:qFormat/>
    <w:uiPriority w:val="0"/>
    <w:rPr>
      <w:rFonts w:hint="eastAsia" w:ascii="宋体" w:hAnsi="宋体" w:eastAsia="宋体" w:cs="宋体"/>
      <w:color w:val="000000"/>
      <w:sz w:val="20"/>
      <w:szCs w:val="20"/>
      <w:u w:val="none"/>
    </w:rPr>
  </w:style>
  <w:style w:type="character" w:customStyle="1" w:styleId="29">
    <w:name w:val="font21"/>
    <w:basedOn w:val="22"/>
    <w:autoRedefine/>
    <w:qFormat/>
    <w:uiPriority w:val="0"/>
    <w:rPr>
      <w:rFonts w:ascii="Arial" w:hAnsi="Arial" w:cs="Arial"/>
      <w:color w:val="000000"/>
      <w:sz w:val="20"/>
      <w:szCs w:val="20"/>
      <w:u w:val="none"/>
    </w:rPr>
  </w:style>
  <w:style w:type="table" w:customStyle="1" w:styleId="30">
    <w:name w:val="Table Normal"/>
    <w:autoRedefine/>
    <w:unhideWhenUsed/>
    <w:qFormat/>
    <w:uiPriority w:val="0"/>
    <w:tblPr>
      <w:tblCellMar>
        <w:top w:w="0" w:type="dxa"/>
        <w:left w:w="0" w:type="dxa"/>
        <w:bottom w:w="0" w:type="dxa"/>
        <w:right w:w="0" w:type="dxa"/>
      </w:tblCellMar>
    </w:tblPr>
  </w:style>
  <w:style w:type="paragraph" w:customStyle="1" w:styleId="31">
    <w:name w:val="WPSOffice手动目录 1"/>
    <w:autoRedefine/>
    <w:qFormat/>
    <w:uiPriority w:val="0"/>
    <w:rPr>
      <w:rFonts w:ascii="Times New Roman" w:hAnsi="Times New Roman" w:eastAsia="宋体" w:cs="Times New Roman"/>
      <w:lang w:val="en-US" w:eastAsia="zh-CN" w:bidi="ar-SA"/>
    </w:rPr>
  </w:style>
  <w:style w:type="paragraph" w:customStyle="1" w:styleId="3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3">
    <w:name w:val="样式2"/>
    <w:qFormat/>
    <w:uiPriority w:val="0"/>
    <w:pPr>
      <w:shd w:val="clear" w:color="auto" w:fill="FFFFFF"/>
      <w:spacing w:before="100" w:beforeAutospacing="1" w:after="100" w:afterAutospacing="1"/>
      <w:ind w:left="562"/>
      <w:jc w:val="center"/>
    </w:pPr>
    <w:rPr>
      <w:rFonts w:ascii="宋体" w:hAnsi="Calibri" w:eastAsia="宋体" w:cs="宋体"/>
      <w:b/>
      <w:bCs/>
      <w:kern w:val="2"/>
      <w:sz w:val="21"/>
      <w:szCs w:val="24"/>
      <w:lang w:val="en-US" w:eastAsia="zh-CN" w:bidi="ar-SA"/>
    </w:rPr>
  </w:style>
  <w:style w:type="paragraph" w:customStyle="1" w:styleId="34">
    <w:name w:val="Body text|1"/>
    <w:basedOn w:val="1"/>
    <w:qFormat/>
    <w:uiPriority w:val="0"/>
    <w:pPr>
      <w:widowControl w:val="0"/>
      <w:shd w:val="clear" w:color="auto" w:fill="auto"/>
      <w:spacing w:line="415"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3128</Words>
  <Characters>3511</Characters>
  <Lines>113</Lines>
  <Paragraphs>32</Paragraphs>
  <TotalTime>4</TotalTime>
  <ScaleCrop>false</ScaleCrop>
  <LinksUpToDate>false</LinksUpToDate>
  <CharactersWithSpaces>3631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2018-03-14T07:34:00Z</dcterms:created>
  <dc:creator>1402836399</dc:creator>
  <cp:lastModifiedBy>HTT</cp:lastModifiedBy>
  <cp:lastPrinted>2023-05-29T11:24:00Z</cp:lastPrinted>
  <dcterms:modified xsi:type="dcterms:W3CDTF">2025-06-10T08:33:06Z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62D8A753C6CC4B74BFAB234B42B84CB8_13</vt:lpwstr>
  </property>
  <property fmtid="{D5CDD505-2E9C-101B-9397-08002B2CF9AE}" pid="4" name="KSOTemplateDocerSaveRecord">
    <vt:lpwstr>eyJoZGlkIjoiYjQzMjBlMTllOTgyM2Q0NTk0ZjAzMDVkNTRkMWIxNzUiLCJ1c2VySWQiOiIzMDE5ODk4In0=</vt:lpwstr>
  </property>
</Properties>
</file>